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27195" w14:paraId="4062B42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F8E8BB" w14:textId="77777777" w:rsidR="00E27195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17054632" w14:textId="77777777" w:rsidR="00E27195" w:rsidRDefault="00000000">
            <w:pPr>
              <w:spacing w:after="0" w:line="240" w:lineRule="auto"/>
            </w:pPr>
            <w:r>
              <w:t>34483</w:t>
            </w:r>
          </w:p>
        </w:tc>
      </w:tr>
      <w:tr w:rsidR="00E27195" w14:paraId="70AC515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A6C4D1" w14:textId="77777777" w:rsidR="00E27195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09D94EAF" w14:textId="77777777" w:rsidR="00E27195" w:rsidRDefault="00000000">
            <w:pPr>
              <w:spacing w:after="0" w:line="240" w:lineRule="auto"/>
            </w:pPr>
            <w:r>
              <w:t>OPĆINA GRAČAC</w:t>
            </w:r>
          </w:p>
        </w:tc>
      </w:tr>
      <w:tr w:rsidR="00E27195" w14:paraId="7396697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BA22B2" w14:textId="77777777" w:rsidR="00E2719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8D1CC47" w14:textId="77777777" w:rsidR="00E27195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6C5860AD" w14:textId="77777777" w:rsidR="00E27195" w:rsidRDefault="00000000">
      <w:r>
        <w:br/>
      </w:r>
    </w:p>
    <w:p w14:paraId="1581CF73" w14:textId="77777777" w:rsidR="00E2719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0003955" w14:textId="77777777" w:rsidR="00E2719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3A44175" w14:textId="77777777" w:rsidR="00E2719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F6FD53C" w14:textId="77777777" w:rsidR="00E27195" w:rsidRDefault="00E27195"/>
    <w:p w14:paraId="20542D53" w14:textId="77777777" w:rsidR="00E27195" w:rsidRPr="00E243AF" w:rsidRDefault="00000000">
      <w:pPr>
        <w:keepNext/>
        <w:spacing w:line="240" w:lineRule="auto"/>
        <w:jc w:val="center"/>
        <w:rPr>
          <w:lang w:val="pl-PL"/>
        </w:rPr>
      </w:pPr>
      <w:r w:rsidRPr="00E243AF">
        <w:rPr>
          <w:b/>
          <w:sz w:val="28"/>
          <w:lang w:val="pl-PL"/>
        </w:rPr>
        <w:t>Izvještaj o prihodima i rashodima, primicima i izdacima</w:t>
      </w:r>
    </w:p>
    <w:p w14:paraId="585B8A6A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61AB5F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9E65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7602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1180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4A109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2A8D6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4206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327A25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D085A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628A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28535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D035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3.401.389,01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770112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4.449.766,51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0D3CC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  <w:tr w:rsidR="00E27195" w14:paraId="44575C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046AD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D417D7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36767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29B2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3.099.031,31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724F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3.765.292,09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23D53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  <w:tr w:rsidR="00E27195" w14:paraId="6A9866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631F7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7C073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ECEF2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60B95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302.357,70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71BA8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684.474,42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CF5A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226,4</w:t>
            </w:r>
          </w:p>
        </w:tc>
      </w:tr>
      <w:tr w:rsidR="00E27195" w14:paraId="5DD507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E7D9A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1576EF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05736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E88C8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27.888,22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F25C8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39.528,53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3F119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141,7</w:t>
            </w:r>
          </w:p>
        </w:tc>
      </w:tr>
      <w:tr w:rsidR="00E27195" w14:paraId="150C39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ED423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3D265E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5D451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EFE1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330.245,94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7A4C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1.400.549,13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A5FD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424,1</w:t>
            </w:r>
          </w:p>
        </w:tc>
      </w:tr>
      <w:tr w:rsidR="00E27195" w14:paraId="7941C1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35DB8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2F16E3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DE166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CE53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302.357,72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23CA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1.361.020,60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EC6E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450,1</w:t>
            </w:r>
          </w:p>
        </w:tc>
      </w:tr>
      <w:tr w:rsidR="00E27195" w14:paraId="6173B4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7F6DA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B5F684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F0052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BFF83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6277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603F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27195" w14:paraId="224A25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DAC4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573427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88885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A33A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D5A1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7552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27195" w14:paraId="174A1A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D41B3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EE32A3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9836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33812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AFE15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222B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27195" w14:paraId="08FD32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EC2D4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4F8DC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BF275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12083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9094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676.546,18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67BE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748EE3AD" w14:textId="77777777" w:rsidR="00E27195" w:rsidRDefault="00E27195">
      <w:pPr>
        <w:spacing w:after="0"/>
      </w:pPr>
    </w:p>
    <w:p w14:paraId="28C15E35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PR-RAS</w:t>
      </w:r>
    </w:p>
    <w:p w14:paraId="1D47E28F" w14:textId="77777777" w:rsidR="00E27195" w:rsidRDefault="00000000">
      <w:r>
        <w:lastRenderedPageBreak/>
        <w:t xml:space="preserve">U </w:t>
      </w:r>
      <w:proofErr w:type="spellStart"/>
      <w:r>
        <w:t>obrascu</w:t>
      </w:r>
      <w:proofErr w:type="spellEnd"/>
      <w:r>
        <w:t xml:space="preserve"> PR-RAS za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iskazani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6) u </w:t>
      </w:r>
      <w:proofErr w:type="spellStart"/>
      <w:r>
        <w:t>iznosu</w:t>
      </w:r>
      <w:proofErr w:type="spellEnd"/>
      <w:r>
        <w:t xml:space="preserve"> od 4.449.766,51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3) </w:t>
      </w:r>
      <w:proofErr w:type="spellStart"/>
      <w:r>
        <w:t>iznose</w:t>
      </w:r>
      <w:proofErr w:type="spellEnd"/>
      <w:r>
        <w:t xml:space="preserve"> 3.765.292,09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rezultira</w:t>
      </w:r>
      <w:proofErr w:type="spellEnd"/>
      <w:r>
        <w:t xml:space="preserve"> </w:t>
      </w:r>
      <w:proofErr w:type="spellStart"/>
      <w:r>
        <w:t>viškom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X001) u </w:t>
      </w:r>
      <w:proofErr w:type="spellStart"/>
      <w:r>
        <w:t>iznosu</w:t>
      </w:r>
      <w:proofErr w:type="spellEnd"/>
      <w:r>
        <w:t xml:space="preserve"> od 684.474,42 </w:t>
      </w:r>
      <w:proofErr w:type="spellStart"/>
      <w:r>
        <w:t>eura</w:t>
      </w:r>
      <w:proofErr w:type="spellEnd"/>
      <w:r>
        <w:t>.</w:t>
      </w:r>
    </w:p>
    <w:p w14:paraId="69CB507A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7)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39.528,53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4) </w:t>
      </w:r>
      <w:proofErr w:type="spellStart"/>
      <w:r>
        <w:t>iznose</w:t>
      </w:r>
      <w:proofErr w:type="spellEnd"/>
      <w:r>
        <w:t xml:space="preserve"> 1.400.549,13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slijedom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Y002) u </w:t>
      </w:r>
      <w:proofErr w:type="spellStart"/>
      <w:r>
        <w:t>iznosu</w:t>
      </w:r>
      <w:proofErr w:type="spellEnd"/>
      <w:r>
        <w:t xml:space="preserve"> od 1.361.020,60 </w:t>
      </w:r>
      <w:proofErr w:type="spellStart"/>
      <w:r>
        <w:t>eura</w:t>
      </w:r>
      <w:proofErr w:type="spellEnd"/>
      <w:r>
        <w:t>.</w:t>
      </w:r>
    </w:p>
    <w:p w14:paraId="37DB51EE" w14:textId="77777777" w:rsidR="00E27195" w:rsidRDefault="00000000"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8)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otplate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5),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višak</w:t>
      </w:r>
      <w:proofErr w:type="spellEnd"/>
      <w:r>
        <w:t>/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X003/Y003) </w:t>
      </w:r>
      <w:proofErr w:type="spellStart"/>
      <w:r>
        <w:t>iznosi</w:t>
      </w:r>
      <w:proofErr w:type="spellEnd"/>
      <w:r>
        <w:t xml:space="preserve"> 0,00 </w:t>
      </w:r>
      <w:proofErr w:type="spellStart"/>
      <w:r>
        <w:t>eura</w:t>
      </w:r>
      <w:proofErr w:type="spellEnd"/>
      <w:r>
        <w:t>.</w:t>
      </w:r>
    </w:p>
    <w:p w14:paraId="73E2E9BB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Ukupno gledano, ostvaren je manjak prihoda i primitaka (šifra Y005) u iznosu od 676.546,18 eura.</w:t>
      </w:r>
    </w:p>
    <w:p w14:paraId="632D95B4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br/>
      </w:r>
    </w:p>
    <w:p w14:paraId="66D51472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259AE0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E558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2BB2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3CFF1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D3089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BC566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0946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0E091C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7229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1711E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6F8AD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EE74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3.401.389,01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C68B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4.449.766,51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AE67C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14:paraId="0E91ABD3" w14:textId="77777777" w:rsidR="00E27195" w:rsidRDefault="00E27195">
      <w:pPr>
        <w:spacing w:after="0"/>
      </w:pPr>
    </w:p>
    <w:p w14:paraId="05796C30" w14:textId="77777777" w:rsidR="00E27195" w:rsidRDefault="00000000"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4.449.766,51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130,8 %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3.401.389,01 </w:t>
      </w:r>
      <w:proofErr w:type="spellStart"/>
      <w:r>
        <w:t>eura</w:t>
      </w:r>
      <w:proofErr w:type="spellEnd"/>
      <w:r>
        <w:t>.</w:t>
      </w:r>
    </w:p>
    <w:p w14:paraId="1E381933" w14:textId="77777777" w:rsidR="00E27195" w:rsidRDefault="00000000">
      <w:proofErr w:type="spellStart"/>
      <w:r>
        <w:t>Ostvareni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proofErr w:type="gramStart"/>
      <w:r>
        <w:t>aktivnosti</w:t>
      </w:r>
      <w:proofErr w:type="spellEnd"/>
      <w:r>
        <w:t xml:space="preserve">  </w:t>
      </w:r>
      <w:proofErr w:type="spellStart"/>
      <w:r>
        <w:t>tj</w:t>
      </w:r>
      <w:proofErr w:type="spellEnd"/>
      <w:proofErr w:type="gramEnd"/>
      <w:r>
        <w:t xml:space="preserve">.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po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skupinama</w:t>
      </w:r>
      <w:proofErr w:type="spellEnd"/>
      <w:r>
        <w:t xml:space="preserve"> (61–68).</w:t>
      </w:r>
    </w:p>
    <w:p w14:paraId="692B6FFF" w14:textId="77777777" w:rsidR="00E27195" w:rsidRDefault="00E27195"/>
    <w:p w14:paraId="42748BDD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093011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66B4A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EACB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55A4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50F30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48385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67269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23910E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E192F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88DB7E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poreza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94C2F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C97F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830.011,62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FBAD8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753.716,95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FECE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</w:tbl>
    <w:p w14:paraId="0EEDB143" w14:textId="77777777" w:rsidR="00E27195" w:rsidRDefault="00E27195">
      <w:pPr>
        <w:spacing w:after="0"/>
      </w:pPr>
    </w:p>
    <w:p w14:paraId="4FB60EB6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611–616)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753.716,95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830.011,62 EUR.</w:t>
      </w:r>
    </w:p>
    <w:p w14:paraId="165F3EE0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U odnosu na prethodnu godinu evidentirano je smanjenje prihoda za 76.294,67 EUR, odnosno 9,2 % (indeks 90,8).</w:t>
      </w:r>
    </w:p>
    <w:p w14:paraId="5EFBDA49" w14:textId="77777777" w:rsidR="00E27195" w:rsidRPr="00E243AF" w:rsidRDefault="00E27195">
      <w:pPr>
        <w:rPr>
          <w:lang w:val="pl-PL"/>
        </w:rPr>
      </w:pPr>
    </w:p>
    <w:p w14:paraId="7EF20439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31715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8F98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90BB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2CE9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B1998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1A74C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BE89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052507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4C9F2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143E55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7E831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38B2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795.799,93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F12F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664.565,85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8655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83,5</w:t>
            </w:r>
          </w:p>
        </w:tc>
      </w:tr>
    </w:tbl>
    <w:p w14:paraId="78A4A42E" w14:textId="77777777" w:rsidR="00E27195" w:rsidRDefault="00E27195">
      <w:pPr>
        <w:spacing w:after="0"/>
      </w:pPr>
    </w:p>
    <w:p w14:paraId="5F3B7038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od </w:t>
      </w:r>
      <w:proofErr w:type="spellStart"/>
      <w:r>
        <w:t>nesamostalnog</w:t>
      </w:r>
      <w:proofErr w:type="spellEnd"/>
      <w:r>
        <w:t xml:space="preserve"> rada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664.565,85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795.799,93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131.234,08 EUR, </w:t>
      </w:r>
      <w:proofErr w:type="spellStart"/>
      <w:r>
        <w:t>odnosno</w:t>
      </w:r>
      <w:proofErr w:type="spellEnd"/>
      <w:r>
        <w:t xml:space="preserve"> 16,5 % (</w:t>
      </w:r>
      <w:proofErr w:type="spellStart"/>
      <w:r>
        <w:t>indeks</w:t>
      </w:r>
      <w:proofErr w:type="spellEnd"/>
      <w:r>
        <w:t xml:space="preserve"> 83,5).</w:t>
      </w:r>
    </w:p>
    <w:p w14:paraId="064D09C3" w14:textId="77777777" w:rsidR="00E27195" w:rsidRPr="00E243AF" w:rsidRDefault="00000000">
      <w:pPr>
        <w:rPr>
          <w:lang w:val="pl-PL"/>
        </w:rPr>
      </w:pP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izmjena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stupile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osobnog</w:t>
      </w:r>
      <w:proofErr w:type="spellEnd"/>
      <w:r>
        <w:t xml:space="preserve"> </w:t>
      </w:r>
      <w:proofErr w:type="spellStart"/>
      <w:r>
        <w:t>odbitka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u </w:t>
      </w:r>
      <w:proofErr w:type="spellStart"/>
      <w:r>
        <w:t>određivanju</w:t>
      </w:r>
      <w:proofErr w:type="spellEnd"/>
      <w:r>
        <w:t xml:space="preserve"> </w:t>
      </w:r>
      <w:proofErr w:type="spellStart"/>
      <w:r>
        <w:t>poreznih</w:t>
      </w:r>
      <w:proofErr w:type="spellEnd"/>
      <w:r>
        <w:t xml:space="preserve"> </w:t>
      </w:r>
      <w:proofErr w:type="spellStart"/>
      <w:r>
        <w:t>stopa</w:t>
      </w:r>
      <w:proofErr w:type="spellEnd"/>
      <w:r>
        <w:t xml:space="preserve">. </w:t>
      </w:r>
      <w:r w:rsidRPr="00E243AF">
        <w:rPr>
          <w:lang w:val="pl-PL"/>
        </w:rPr>
        <w:t>Navedene promjene dovele su do smanjenja porezne osnovice i porezne obveze poreznih obveznika.</w:t>
      </w:r>
    </w:p>
    <w:p w14:paraId="547C2327" w14:textId="77777777" w:rsidR="00E27195" w:rsidRPr="00E243AF" w:rsidRDefault="00E27195">
      <w:pPr>
        <w:rPr>
          <w:lang w:val="pl-PL"/>
        </w:rPr>
      </w:pPr>
    </w:p>
    <w:p w14:paraId="395D7A8A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515578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2E52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D43D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1281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BB3AC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8CBF7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58D95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C1BE4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F8B5F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92B1E7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F9E18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0DAE2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8.661,76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9D39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48.439,85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7FAC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559,2</w:t>
            </w:r>
          </w:p>
        </w:tc>
      </w:tr>
    </w:tbl>
    <w:p w14:paraId="5520B8E2" w14:textId="77777777" w:rsidR="00E27195" w:rsidRDefault="00E27195">
      <w:pPr>
        <w:spacing w:after="0"/>
      </w:pPr>
    </w:p>
    <w:p w14:paraId="63618FA4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Prihodi od poreza na dohodak od kapitala u izvještajnom razdoblju iznose 48.439,85 EUR, dok su u prethodnom razdoblju iznosili 8.661,76 EUR.</w:t>
      </w:r>
    </w:p>
    <w:p w14:paraId="30D062BE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U odnosu na prethodnu godinu evidentirano je povećanje prihoda za 39.778,09 EUR, odnosno 459,2 % (indeks 559,2).S obzirom na to da se ova vrsta prihoda najvećim dijelom ostvaruje povremeno (npr. po osnovi isplate dividendi ili prodaje imovine), značajnija odstupanja u odnosu na prethodnu godinu najčešće su rezultat pojedinačnih većih isplata ili transakcija, a ne nužno trajnog povećanja porezne osnovice.</w:t>
      </w:r>
    </w:p>
    <w:p w14:paraId="4568D689" w14:textId="77777777" w:rsidR="00E27195" w:rsidRPr="00E243AF" w:rsidRDefault="00E27195">
      <w:pPr>
        <w:rPr>
          <w:lang w:val="pl-PL"/>
        </w:rPr>
      </w:pPr>
    </w:p>
    <w:p w14:paraId="61FB127F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69D56D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16BF9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8277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FE651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3673A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BDF94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D23D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008609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760D0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9D01F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Povrat poreza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216D1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23CC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196.920,04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33519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232.448,95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8FBF0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312EAD88" w14:textId="77777777" w:rsidR="00E27195" w:rsidRDefault="00E27195">
      <w:pPr>
        <w:spacing w:after="0"/>
      </w:pPr>
    </w:p>
    <w:p w14:paraId="66C41944" w14:textId="77777777" w:rsidR="00E27195" w:rsidRDefault="00000000">
      <w:proofErr w:type="spellStart"/>
      <w:r>
        <w:lastRenderedPageBreak/>
        <w:t>Povećanje</w:t>
      </w:r>
      <w:proofErr w:type="spellEnd"/>
      <w:r>
        <w:t xml:space="preserve"> </w:t>
      </w:r>
      <w:proofErr w:type="spellStart"/>
      <w:r>
        <w:t>povrata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po </w:t>
      </w:r>
      <w:proofErr w:type="spellStart"/>
      <w:r>
        <w:t>godišnjoj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stupile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osobito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osobnog</w:t>
      </w:r>
      <w:proofErr w:type="spellEnd"/>
      <w:r>
        <w:t xml:space="preserve"> </w:t>
      </w:r>
      <w:proofErr w:type="spellStart"/>
      <w:r>
        <w:t>odbitka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dovelo</w:t>
      </w:r>
      <w:proofErr w:type="spellEnd"/>
      <w:r>
        <w:t xml:space="preserve"> do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poreznih</w:t>
      </w:r>
      <w:proofErr w:type="spellEnd"/>
      <w:r>
        <w:t xml:space="preserve"> </w:t>
      </w:r>
      <w:proofErr w:type="spellStart"/>
      <w:r>
        <w:t>obveznika</w:t>
      </w:r>
      <w:proofErr w:type="spellEnd"/>
      <w:r>
        <w:t xml:space="preserve"> s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viših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povrata</w:t>
      </w:r>
      <w:proofErr w:type="spellEnd"/>
      <w:r>
        <w:t xml:space="preserve">, a time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>.</w:t>
      </w:r>
    </w:p>
    <w:p w14:paraId="0C0A2966" w14:textId="77777777" w:rsidR="00E27195" w:rsidRDefault="00E27195"/>
    <w:p w14:paraId="7CE2E832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7457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2C49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BD90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0A52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D7076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032DD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C138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1150B5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A4F52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C1CED6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8BD9D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EE9A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117.849,50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69FA8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120.501,56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7D0C3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102,3</w:t>
            </w:r>
          </w:p>
        </w:tc>
      </w:tr>
    </w:tbl>
    <w:p w14:paraId="605ABE0E" w14:textId="77777777" w:rsidR="00E27195" w:rsidRDefault="00E27195">
      <w:pPr>
        <w:spacing w:after="0"/>
      </w:pPr>
    </w:p>
    <w:p w14:paraId="1439F75B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6131–6135)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120.501,56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117.849,50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2.652,06 EUR, </w:t>
      </w:r>
      <w:proofErr w:type="spellStart"/>
      <w:r>
        <w:t>odnosno</w:t>
      </w:r>
      <w:proofErr w:type="spellEnd"/>
      <w:r>
        <w:t xml:space="preserve"> 2,3 % (</w:t>
      </w:r>
      <w:proofErr w:type="spellStart"/>
      <w:r>
        <w:t>indeks</w:t>
      </w:r>
      <w:proofErr w:type="spellEnd"/>
      <w:r>
        <w:t xml:space="preserve"> 102,3).</w:t>
      </w:r>
    </w:p>
    <w:p w14:paraId="0ED3107D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Prihodi se odnose na porez na kuće za odmor i porez na promet nekretnina. Blago povećanje u odnosu na prethodnu godinu rezultat je većeg broja evidentiranih transakcija nekretninama te ažuriranja obveznika poreza na kuće za odmor u promatranom razdoblju.</w:t>
      </w:r>
    </w:p>
    <w:p w14:paraId="522C4840" w14:textId="77777777" w:rsidR="00E27195" w:rsidRPr="00E243AF" w:rsidRDefault="00E27195">
      <w:pPr>
        <w:rPr>
          <w:lang w:val="pl-PL"/>
        </w:rPr>
      </w:pPr>
    </w:p>
    <w:p w14:paraId="07DCABFA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30350D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E387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7F76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A2425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98C77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E6FB8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0D26A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433011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3A8F0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504B6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287F7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7045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1.593.616,32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F6AB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2.720.228,48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E66F1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14:paraId="262309CB" w14:textId="77777777" w:rsidR="00E27195" w:rsidRDefault="00E27195">
      <w:pPr>
        <w:spacing w:after="0"/>
      </w:pPr>
    </w:p>
    <w:p w14:paraId="293B7276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631–639)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2.720.228,48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1.593.616,32 EUR.</w:t>
      </w:r>
    </w:p>
    <w:p w14:paraId="68A2D7CE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U odnosu na prethodnu godinu evidentirano je povećanje za 1.126.612,16 EUR, odnosno 70,7 % (indeks 170,7).</w:t>
      </w:r>
    </w:p>
    <w:p w14:paraId="4A3DE9DA" w14:textId="77777777" w:rsidR="00E27195" w:rsidRPr="00E243AF" w:rsidRDefault="00E27195">
      <w:pPr>
        <w:rPr>
          <w:lang w:val="pl-PL"/>
        </w:rPr>
      </w:pPr>
    </w:p>
    <w:p w14:paraId="44413F3D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0261F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3E85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541FF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1BF29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F548D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B51BB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B48B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29C1ED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4248A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DA7CF4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87DA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9B5F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1.102.665,70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6A6B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2.154.282,82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76A9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195,4</w:t>
            </w:r>
          </w:p>
        </w:tc>
      </w:tr>
    </w:tbl>
    <w:p w14:paraId="0FC48A8E" w14:textId="77777777" w:rsidR="00E27195" w:rsidRDefault="00E27195">
      <w:pPr>
        <w:spacing w:after="0"/>
      </w:pPr>
    </w:p>
    <w:p w14:paraId="0204351E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6331–6332)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2.154.282,82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1.102.665,70 EUR.</w:t>
      </w:r>
    </w:p>
    <w:p w14:paraId="767676F8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U odnosu na prethodnu godinu evidentirano je povećanje za 1.051.617,12 EUR, odnosno 95,4 % (indeks 195,4).</w:t>
      </w:r>
    </w:p>
    <w:p w14:paraId="39BEF558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Značajan rast prihoda rezultat je većeg obujma doznačenih sredstava iz državnog, županijskog i drugih proračuna, ponajprije za financiranje i sufinanciranje projekata te provedbu programa u izvještajnom razdoblju.</w:t>
      </w:r>
    </w:p>
    <w:p w14:paraId="6DD6F513" w14:textId="77777777" w:rsidR="00E27195" w:rsidRPr="00E243AF" w:rsidRDefault="00E27195">
      <w:pPr>
        <w:rPr>
          <w:lang w:val="pl-PL"/>
        </w:rPr>
      </w:pPr>
    </w:p>
    <w:p w14:paraId="6A84DE60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2D21E7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3E81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C4ED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971AF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B2FC6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499AB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80DB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22B67A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0E1E2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662F6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F3243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8055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490.950,62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19BA5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565.945,66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CD5E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4D891EB6" w14:textId="77777777" w:rsidR="00E27195" w:rsidRDefault="00E27195">
      <w:pPr>
        <w:spacing w:after="0"/>
      </w:pPr>
    </w:p>
    <w:p w14:paraId="206C06A2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 xml:space="preserve"> za </w:t>
      </w:r>
      <w:proofErr w:type="spellStart"/>
      <w:r>
        <w:t>decentralizirane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6351–6353)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565.945,66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490.950,62 EUR.</w:t>
      </w:r>
    </w:p>
    <w:p w14:paraId="6B473882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U odnosu na prethodnu godinu evidentirano je povećanje za 74.995,04 EUR, odnosno 15,3 % (indeks 115,3).</w:t>
      </w:r>
    </w:p>
    <w:p w14:paraId="264FD441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Povećanje prihoda rezultat je većih doznačenih sredstava fiskalnog izravnanja i sredstava za financiranje decentraliziranih funkcija u skladu s važećim propisima i utvrđenim kriterijima raspodjele za izvještajno razdoblje.</w:t>
      </w:r>
    </w:p>
    <w:p w14:paraId="5F8E935C" w14:textId="77777777" w:rsidR="00E27195" w:rsidRPr="00E243AF" w:rsidRDefault="00E27195">
      <w:pPr>
        <w:rPr>
          <w:lang w:val="pl-PL"/>
        </w:rPr>
      </w:pPr>
    </w:p>
    <w:p w14:paraId="7BB810C7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26DB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892C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30F0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4E86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53F65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DB619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F9D9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414281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39920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649BF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81E9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A90D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587.200,69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4AB2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550.393,62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7DA6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</w:tbl>
    <w:p w14:paraId="2F683A2D" w14:textId="77777777" w:rsidR="00E27195" w:rsidRDefault="00E27195">
      <w:pPr>
        <w:spacing w:after="0"/>
      </w:pPr>
    </w:p>
    <w:p w14:paraId="4C8C8ED6" w14:textId="77777777" w:rsidR="00E27195" w:rsidRDefault="00000000">
      <w:proofErr w:type="spellStart"/>
      <w:r>
        <w:lastRenderedPageBreak/>
        <w:t>Prihodi</w:t>
      </w:r>
      <w:proofErr w:type="spellEnd"/>
      <w:r>
        <w:t xml:space="preserve"> od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641–643)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550.393,62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587.200,69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36.807,07 EUR, </w:t>
      </w:r>
      <w:proofErr w:type="spellStart"/>
      <w:r>
        <w:t>odnosno</w:t>
      </w:r>
      <w:proofErr w:type="spellEnd"/>
      <w:r>
        <w:t xml:space="preserve"> 6,3 % (</w:t>
      </w:r>
      <w:proofErr w:type="spellStart"/>
      <w:r>
        <w:t>indeks</w:t>
      </w:r>
      <w:proofErr w:type="spellEnd"/>
      <w:r>
        <w:t xml:space="preserve"> 93,7).</w:t>
      </w:r>
    </w:p>
    <w:p w14:paraId="47509450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Prihodi se odnose na naknade za eksploataciju mineralnih sirovina, zakup poslovnih objekata, naknade za korištenje vjetroelektrana, kamate na depozite te ostale prihode od imovine.</w:t>
      </w:r>
    </w:p>
    <w:p w14:paraId="7956A277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Smanjenje prihoda u odnosu na prethodnu godinu rezultat je nižih ostvarenih prihoda po pojedinim osnovama, ponajprije naknada i kamata, u izvještajnom razdoblju.</w:t>
      </w:r>
      <w:r w:rsidRPr="00E243AF">
        <w:rPr>
          <w:lang w:val="pl-PL"/>
        </w:rPr>
        <w:br/>
        <w:t> </w:t>
      </w:r>
      <w:r w:rsidRPr="00E243AF">
        <w:rPr>
          <w:lang w:val="pl-PL"/>
        </w:rPr>
        <w:br/>
        <w:t> </w:t>
      </w:r>
      <w:r w:rsidRPr="00E243AF">
        <w:rPr>
          <w:lang w:val="pl-PL"/>
        </w:rPr>
        <w:br/>
        <w:t> </w:t>
      </w:r>
    </w:p>
    <w:p w14:paraId="0BA3B488" w14:textId="77777777" w:rsidR="00E27195" w:rsidRPr="00E243AF" w:rsidRDefault="00E27195">
      <w:pPr>
        <w:rPr>
          <w:lang w:val="pl-PL"/>
        </w:rPr>
      </w:pPr>
    </w:p>
    <w:p w14:paraId="22517E47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0E5578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63E7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7187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1B69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77FC7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DA77E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F817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E3ECF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91BFF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B40D43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D6E20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6909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586.396,78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628A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549.970,83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27E29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93,8</w:t>
            </w:r>
          </w:p>
        </w:tc>
      </w:tr>
    </w:tbl>
    <w:p w14:paraId="4AAC1F58" w14:textId="77777777" w:rsidR="00E27195" w:rsidRDefault="00E27195">
      <w:pPr>
        <w:spacing w:after="0"/>
      </w:pPr>
    </w:p>
    <w:p w14:paraId="483B60E3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6421–6429)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549.970,83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586.396,78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36.425,95 EUR, </w:t>
      </w:r>
      <w:proofErr w:type="spellStart"/>
      <w:r>
        <w:t>odnosno</w:t>
      </w:r>
      <w:proofErr w:type="spellEnd"/>
      <w:r>
        <w:t xml:space="preserve"> 6,2 % (</w:t>
      </w:r>
      <w:proofErr w:type="spellStart"/>
      <w:r>
        <w:t>indeks</w:t>
      </w:r>
      <w:proofErr w:type="spellEnd"/>
      <w:r>
        <w:t xml:space="preserve"> 93,8).</w:t>
      </w:r>
    </w:p>
    <w:p w14:paraId="2900D037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Prihodi se u cijelosti odnose na naknade za korištenje vjetroelektrana.</w:t>
      </w:r>
    </w:p>
    <w:p w14:paraId="1F40891A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Smanjenje prihoda u odnosu na prethodnu godinu rezultat je niže obračunate i doznačene naknade za korištenje vjetroelektrana u izvještajnom razdoblju.</w:t>
      </w:r>
      <w:r w:rsidRPr="00E243AF">
        <w:rPr>
          <w:lang w:val="pl-PL"/>
        </w:rPr>
        <w:br/>
        <w:t> </w:t>
      </w:r>
      <w:r w:rsidRPr="00E243AF">
        <w:rPr>
          <w:lang w:val="pl-PL"/>
        </w:rPr>
        <w:br/>
        <w:t> </w:t>
      </w:r>
      <w:r w:rsidRPr="00E243AF">
        <w:rPr>
          <w:lang w:val="pl-PL"/>
        </w:rPr>
        <w:br/>
        <w:t> </w:t>
      </w:r>
    </w:p>
    <w:p w14:paraId="09D869FD" w14:textId="77777777" w:rsidR="00E27195" w:rsidRPr="00E243AF" w:rsidRDefault="00E27195">
      <w:pPr>
        <w:rPr>
          <w:lang w:val="pl-PL"/>
        </w:rPr>
      </w:pPr>
    </w:p>
    <w:p w14:paraId="4E66C396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3BD57B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A1F91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9E1D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A62C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C4C6D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CCD29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7766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221A69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7E974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F3CE9F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A8E8B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B29BC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376.189,98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CF6D3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400.858,53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5DB4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14:paraId="6A4454AD" w14:textId="77777777" w:rsidR="00E27195" w:rsidRDefault="00E27195">
      <w:pPr>
        <w:spacing w:after="0"/>
      </w:pPr>
    </w:p>
    <w:p w14:paraId="5A7152ED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pristojbi</w:t>
      </w:r>
      <w:proofErr w:type="spellEnd"/>
      <w:r>
        <w:t xml:space="preserve">, </w:t>
      </w:r>
      <w:proofErr w:type="spellStart"/>
      <w:r>
        <w:t>pristojbi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651–654)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400.858,53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lastRenderedPageBreak/>
        <w:t>iznosili</w:t>
      </w:r>
      <w:proofErr w:type="spellEnd"/>
      <w:r>
        <w:t xml:space="preserve"> 376.189,98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24.668,55 EUR, </w:t>
      </w:r>
      <w:proofErr w:type="spellStart"/>
      <w:r>
        <w:t>odnosno</w:t>
      </w:r>
      <w:proofErr w:type="spellEnd"/>
      <w:r>
        <w:t xml:space="preserve"> 6,6 % (</w:t>
      </w:r>
      <w:proofErr w:type="spellStart"/>
      <w:r>
        <w:t>indeks</w:t>
      </w:r>
      <w:proofErr w:type="spellEnd"/>
      <w:r>
        <w:t xml:space="preserve"> 106,6).</w:t>
      </w:r>
    </w:p>
    <w:p w14:paraId="48874562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šumskog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087DA10A" w14:textId="77777777" w:rsidR="00E27195" w:rsidRDefault="00E27195"/>
    <w:p w14:paraId="5697A757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5C1D0F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BA2FA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819A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CE46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3EB64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9FB06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FE8A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0778A1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7C02B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40D56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05C4F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201C9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251.930,07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B79F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278.585,95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32C5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39E33486" w14:textId="77777777" w:rsidR="00E27195" w:rsidRDefault="00E27195">
      <w:pPr>
        <w:spacing w:after="0"/>
      </w:pPr>
    </w:p>
    <w:p w14:paraId="5C62BB5D" w14:textId="77777777" w:rsidR="00E27195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278.585,95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251.930,07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26.655,88 EUR, </w:t>
      </w:r>
      <w:proofErr w:type="spellStart"/>
      <w:r>
        <w:t>odnosno</w:t>
      </w:r>
      <w:proofErr w:type="spellEnd"/>
      <w:r>
        <w:t xml:space="preserve"> 10,6 % (</w:t>
      </w:r>
      <w:proofErr w:type="spellStart"/>
      <w:r>
        <w:t>indeks</w:t>
      </w:r>
      <w:proofErr w:type="spellEnd"/>
      <w:r>
        <w:t xml:space="preserve"> 110,6).</w:t>
      </w:r>
    </w:p>
    <w:p w14:paraId="52BAD1F3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provedenih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prisilne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64153815" w14:textId="77777777" w:rsidR="00E27195" w:rsidRDefault="00E27195"/>
    <w:p w14:paraId="1D15718C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4FFD7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1BB4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9C40A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2B78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6C413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D028A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748B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24FF23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4688A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6B3FB6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81132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86A1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3.099.031,31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B577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3.765.292,09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738E9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6B0E460B" w14:textId="77777777" w:rsidR="00E27195" w:rsidRDefault="00E27195">
      <w:pPr>
        <w:spacing w:after="0"/>
      </w:pPr>
    </w:p>
    <w:p w14:paraId="1DA1FF85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3 –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31+32+34+35+36+37+38)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3.765.292,09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3.099.031,31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666.260,78 EUR, </w:t>
      </w:r>
      <w:proofErr w:type="spellStart"/>
      <w:r>
        <w:t>odnosno</w:t>
      </w:r>
      <w:proofErr w:type="spellEnd"/>
      <w:r>
        <w:t xml:space="preserve"> 21,5 % (</w:t>
      </w:r>
      <w:proofErr w:type="spellStart"/>
      <w:r>
        <w:t>indeks</w:t>
      </w:r>
      <w:proofErr w:type="spellEnd"/>
      <w:r>
        <w:t xml:space="preserve"> 121,5).</w:t>
      </w:r>
    </w:p>
    <w:p w14:paraId="6AD45DF7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obujma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skupinama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7025C5F6" w14:textId="77777777" w:rsidR="00E27195" w:rsidRDefault="00E27195"/>
    <w:p w14:paraId="74286AAC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8F29A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12F8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8852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873A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A4CCD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11AAF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9669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390930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78E1E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3C348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bruto</w:t>
            </w:r>
            <w:proofErr w:type="spellEnd"/>
            <w:r>
              <w:rPr>
                <w:sz w:val="18"/>
              </w:rPr>
              <w:t>)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76557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79FA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224.233,03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15D7B0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240.174,98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04FF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</w:tbl>
    <w:p w14:paraId="308C8F1E" w14:textId="77777777" w:rsidR="00E27195" w:rsidRDefault="00E27195">
      <w:pPr>
        <w:spacing w:after="0"/>
      </w:pPr>
    </w:p>
    <w:p w14:paraId="1B5B4E83" w14:textId="77777777" w:rsidR="00E27195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3111–3114)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240.174,98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224.233,03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15.941,95 EUR, </w:t>
      </w:r>
      <w:proofErr w:type="spellStart"/>
      <w:r>
        <w:t>odnosno</w:t>
      </w:r>
      <w:proofErr w:type="spellEnd"/>
      <w:r>
        <w:t xml:space="preserve"> 7,1 % (</w:t>
      </w:r>
      <w:proofErr w:type="spellStart"/>
      <w:r>
        <w:t>indeks</w:t>
      </w:r>
      <w:proofErr w:type="spellEnd"/>
      <w:r>
        <w:t xml:space="preserve"> 107,1).</w:t>
      </w:r>
    </w:p>
    <w:p w14:paraId="18DFBE8D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Povećanje rashoda rezultat je isplate naknade općinskom načelniku po prestanku profesionalnog obnašanja dužnosti, sukladno odredbama Zakona o lokalnoj i područnoj (regionalnoj) samoupravi i Zakona o obvezama i pravima državnih dužnosnika, kojima je propisano pravo na naknadu plaće nakon prestanka mandata.</w:t>
      </w:r>
      <w:r w:rsidRPr="00E243AF">
        <w:rPr>
          <w:lang w:val="pl-PL"/>
        </w:rPr>
        <w:br/>
        <w:t> </w:t>
      </w:r>
      <w:r w:rsidRPr="00E243AF">
        <w:rPr>
          <w:lang w:val="pl-PL"/>
        </w:rPr>
        <w:br/>
        <w:t> </w:t>
      </w:r>
      <w:r w:rsidRPr="00E243AF">
        <w:rPr>
          <w:lang w:val="pl-PL"/>
        </w:rPr>
        <w:br/>
        <w:t> </w:t>
      </w:r>
    </w:p>
    <w:p w14:paraId="5A9DDB39" w14:textId="77777777" w:rsidR="00E27195" w:rsidRPr="00E243AF" w:rsidRDefault="00E27195">
      <w:pPr>
        <w:rPr>
          <w:lang w:val="pl-PL"/>
        </w:rPr>
      </w:pPr>
    </w:p>
    <w:p w14:paraId="74EFF5CA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B9D9F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54FA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D8A8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7C36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0B511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F14CE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E158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494DED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FFD67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A9565F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36150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91BF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1.041.917,63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3C89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973.631,31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46470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</w:tbl>
    <w:p w14:paraId="4D8D3B02" w14:textId="77777777" w:rsidR="00E27195" w:rsidRDefault="00E27195">
      <w:pPr>
        <w:spacing w:after="0"/>
      </w:pPr>
    </w:p>
    <w:p w14:paraId="3E1DA9A6" w14:textId="77777777" w:rsidR="00E27195" w:rsidRDefault="00000000"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321–329)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973.631,31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1.041.917,63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68.286,32 EUR, </w:t>
      </w:r>
      <w:proofErr w:type="spellStart"/>
      <w:r>
        <w:t>odnosno</w:t>
      </w:r>
      <w:proofErr w:type="spellEnd"/>
      <w:r>
        <w:t xml:space="preserve"> 6,6 %.</w:t>
      </w:r>
    </w:p>
    <w:p w14:paraId="13020AB1" w14:textId="77777777" w:rsidR="00E27195" w:rsidRDefault="00000000">
      <w:proofErr w:type="spellStart"/>
      <w:r>
        <w:t>Smanjenje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racionalizacije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nižeg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5060E36B" w14:textId="77777777" w:rsidR="00E27195" w:rsidRDefault="00E27195"/>
    <w:p w14:paraId="300165C6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6A9773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A37F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1F32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A9CC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E38B2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1BE70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383E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893B2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84556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8D68D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Zakupnine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najamnine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B9EAF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39A02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810E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E118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287,0</w:t>
            </w:r>
          </w:p>
        </w:tc>
      </w:tr>
    </w:tbl>
    <w:p w14:paraId="554209C0" w14:textId="77777777" w:rsidR="00E27195" w:rsidRDefault="00E27195">
      <w:pPr>
        <w:spacing w:after="0"/>
      </w:pPr>
    </w:p>
    <w:p w14:paraId="617CE496" w14:textId="77777777" w:rsidR="00E27195" w:rsidRDefault="00000000">
      <w:proofErr w:type="spellStart"/>
      <w:r>
        <w:lastRenderedPageBreak/>
        <w:t>Rashodi</w:t>
      </w:r>
      <w:proofErr w:type="spellEnd"/>
      <w:r>
        <w:t xml:space="preserve"> za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najamnine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5.158,02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1.797,24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3.360,78 EUR, </w:t>
      </w:r>
      <w:proofErr w:type="spellStart"/>
      <w:r>
        <w:t>odnosno</w:t>
      </w:r>
      <w:proofErr w:type="spellEnd"/>
      <w:r>
        <w:t xml:space="preserve"> 187,0 % (</w:t>
      </w:r>
      <w:proofErr w:type="spellStart"/>
      <w:r>
        <w:t>indeks</w:t>
      </w:r>
      <w:proofErr w:type="spellEnd"/>
      <w:r>
        <w:t xml:space="preserve"> 287,0).</w:t>
      </w:r>
    </w:p>
    <w:p w14:paraId="0F5A4688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zakupa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zakupnina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za </w:t>
      </w:r>
      <w:proofErr w:type="spellStart"/>
      <w:r>
        <w:t>projekcije</w:t>
      </w:r>
      <w:proofErr w:type="spellEnd"/>
      <w:r>
        <w:t xml:space="preserve"> </w:t>
      </w:r>
      <w:proofErr w:type="spellStart"/>
      <w:r>
        <w:t>dječjih</w:t>
      </w:r>
      <w:proofErr w:type="spellEnd"/>
      <w:r>
        <w:t xml:space="preserve"> </w:t>
      </w:r>
      <w:proofErr w:type="spellStart"/>
      <w:r>
        <w:t>filmova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organiziranih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manifestacija</w:t>
      </w:r>
      <w:proofErr w:type="spellEnd"/>
      <w:r>
        <w:t>.</w:t>
      </w:r>
    </w:p>
    <w:p w14:paraId="1550826F" w14:textId="77777777" w:rsidR="00E27195" w:rsidRDefault="00E27195"/>
    <w:p w14:paraId="4CA8AA8D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1DC21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3AEF9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C78C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30B2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F4688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1C32C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93AD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573926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027FD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0AE9CE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855F4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674D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24.446,49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D380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44.936,72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BD2F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183,8</w:t>
            </w:r>
          </w:p>
        </w:tc>
      </w:tr>
    </w:tbl>
    <w:p w14:paraId="4698DEBF" w14:textId="77777777" w:rsidR="00E27195" w:rsidRDefault="00E27195">
      <w:pPr>
        <w:spacing w:after="0"/>
      </w:pPr>
    </w:p>
    <w:p w14:paraId="71A61961" w14:textId="77777777" w:rsidR="00E27195" w:rsidRDefault="00000000">
      <w:proofErr w:type="spellStart"/>
      <w:r>
        <w:t>Rashodi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rad </w:t>
      </w:r>
      <w:proofErr w:type="spellStart"/>
      <w:r>
        <w:t>predstavničkih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povjerenstava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44.936,72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24.446,49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20.490,23 EUR, </w:t>
      </w:r>
      <w:proofErr w:type="spellStart"/>
      <w:r>
        <w:t>odnosno</w:t>
      </w:r>
      <w:proofErr w:type="spellEnd"/>
      <w:r>
        <w:t xml:space="preserve"> 83,8 % (</w:t>
      </w:r>
      <w:proofErr w:type="spellStart"/>
      <w:r>
        <w:t>indeks</w:t>
      </w:r>
      <w:proofErr w:type="spellEnd"/>
      <w:r>
        <w:t xml:space="preserve"> 183,8).</w:t>
      </w:r>
    </w:p>
    <w:p w14:paraId="0C288FD5" w14:textId="77777777" w:rsidR="00E27195" w:rsidRPr="00E243AF" w:rsidRDefault="00000000">
      <w:pPr>
        <w:rPr>
          <w:lang w:val="pl-PL"/>
        </w:rPr>
      </w:pPr>
      <w:r w:rsidRPr="00E243AF">
        <w:rPr>
          <w:lang w:val="pl-PL"/>
        </w:rPr>
        <w:t>Značajno povećanje rashoda u odnosu na prethodnu godinu rezultat je provedbe lokalnih izbora u izvještajnom razdoblju. Rashodi se odnose na naknade članovima izbornih povjerenstava, biračkih odbora te ostalih radnih tijela uključenih u organizaciju i provedbu izbora. Budući da se izbori ne održavaju svake godine, navedeni troškovi imaju povremeni karakter te predstavljaju jednokratno povećanje rashoda u promatranom razdoblju.</w:t>
      </w:r>
    </w:p>
    <w:p w14:paraId="0B229FF2" w14:textId="77777777" w:rsidR="00E27195" w:rsidRPr="00E243AF" w:rsidRDefault="00E27195">
      <w:pPr>
        <w:rPr>
          <w:lang w:val="pl-PL"/>
        </w:rPr>
      </w:pPr>
    </w:p>
    <w:p w14:paraId="4A5EB7EB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3B8719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28445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912FF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AA8D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CF33C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C338B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220F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F2687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A694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5FEDE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F7353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8078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17.083,65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6823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26.546,46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F4C1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155,4</w:t>
            </w:r>
          </w:p>
        </w:tc>
      </w:tr>
    </w:tbl>
    <w:p w14:paraId="04165F93" w14:textId="77777777" w:rsidR="00E27195" w:rsidRDefault="00E27195">
      <w:pPr>
        <w:spacing w:after="0"/>
      </w:pPr>
    </w:p>
    <w:p w14:paraId="695D4A04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3293 – </w:t>
      </w:r>
      <w:proofErr w:type="spellStart"/>
      <w:r>
        <w:t>Reprezentacija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reprezentaciju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26.546,46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17.083,65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9.462,81 EUR, </w:t>
      </w:r>
      <w:proofErr w:type="spellStart"/>
      <w:r>
        <w:t>odnosno</w:t>
      </w:r>
      <w:proofErr w:type="spellEnd"/>
      <w:r>
        <w:t xml:space="preserve"> 55,4 % (</w:t>
      </w:r>
      <w:proofErr w:type="spellStart"/>
      <w:r>
        <w:t>indeks</w:t>
      </w:r>
      <w:proofErr w:type="spellEnd"/>
      <w:r>
        <w:t xml:space="preserve"> 155,4).</w:t>
      </w:r>
    </w:p>
    <w:p w14:paraId="3AED5D76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održanih</w:t>
      </w:r>
      <w:proofErr w:type="spellEnd"/>
      <w:r>
        <w:t xml:space="preserve"> </w:t>
      </w:r>
      <w:proofErr w:type="spellStart"/>
      <w:r>
        <w:t>protokolarnih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, </w:t>
      </w:r>
      <w:proofErr w:type="spellStart"/>
      <w:r>
        <w:t>obilježavanja</w:t>
      </w:r>
      <w:proofErr w:type="spellEnd"/>
      <w:r>
        <w:t xml:space="preserve"> </w:t>
      </w:r>
      <w:proofErr w:type="spellStart"/>
      <w:r>
        <w:t>prigodnih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</w:t>
      </w:r>
      <w:proofErr w:type="spellStart"/>
      <w:r>
        <w:t>događanja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3F2741D2" w14:textId="77777777" w:rsidR="00E27195" w:rsidRDefault="00E27195"/>
    <w:p w14:paraId="6014F9D7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8B492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1A42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3D12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B7C3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A1D68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6F22E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5888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368EF7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65D45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44E7ED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229FE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1C645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02C78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471.736,73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6C48C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1206,5</w:t>
            </w:r>
          </w:p>
        </w:tc>
      </w:tr>
    </w:tbl>
    <w:p w14:paraId="25AFCAD6" w14:textId="77777777" w:rsidR="00E27195" w:rsidRDefault="00E27195">
      <w:pPr>
        <w:spacing w:after="0"/>
      </w:pPr>
    </w:p>
    <w:p w14:paraId="640527E4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363 –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3631–3636)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471.736,73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39.100,00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432.636,73 EUR, </w:t>
      </w:r>
      <w:proofErr w:type="spellStart"/>
      <w:r>
        <w:t>odnosno</w:t>
      </w:r>
      <w:proofErr w:type="spellEnd"/>
      <w:r>
        <w:t xml:space="preserve"> 1.106,5 % (</w:t>
      </w:r>
      <w:proofErr w:type="spellStart"/>
      <w:r>
        <w:t>indeks</w:t>
      </w:r>
      <w:proofErr w:type="spellEnd"/>
      <w:r>
        <w:t xml:space="preserve"> 1206,5).</w:t>
      </w:r>
    </w:p>
    <w:p w14:paraId="34D83FDA" w14:textId="77777777" w:rsidR="00E27195" w:rsidRDefault="00000000"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povrata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u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ugovornim</w:t>
      </w:r>
      <w:proofErr w:type="spellEnd"/>
      <w:r>
        <w:t xml:space="preserve"> </w:t>
      </w:r>
      <w:proofErr w:type="spellStart"/>
      <w:r>
        <w:t>obvezama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o </w:t>
      </w:r>
      <w:proofErr w:type="spellStart"/>
      <w:r>
        <w:t>financiranju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.</w:t>
      </w:r>
    </w:p>
    <w:p w14:paraId="671668DB" w14:textId="77777777" w:rsidR="00E27195" w:rsidRDefault="00E27195"/>
    <w:p w14:paraId="61C19184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674F13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86DB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6BE0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41E1A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3C14E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BC2E5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0CB2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343E35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59280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C22BF7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preneseni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D790C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9A4C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3.132.997,14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3B4A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4.351.910,70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600E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138,9</w:t>
            </w:r>
          </w:p>
        </w:tc>
      </w:tr>
    </w:tbl>
    <w:p w14:paraId="51993791" w14:textId="77777777" w:rsidR="00E27195" w:rsidRDefault="00E27195">
      <w:pPr>
        <w:spacing w:after="0"/>
      </w:pPr>
    </w:p>
    <w:p w14:paraId="7DF58B3E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92211 –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– </w:t>
      </w:r>
      <w:proofErr w:type="spellStart"/>
      <w:r>
        <w:t>preneseni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Preneseni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4.351.910,70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iznosio</w:t>
      </w:r>
      <w:proofErr w:type="spellEnd"/>
      <w:r>
        <w:t xml:space="preserve"> 3.132.997,14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1.218.913,56 EUR, </w:t>
      </w:r>
      <w:proofErr w:type="spellStart"/>
      <w:r>
        <w:t>odnosno</w:t>
      </w:r>
      <w:proofErr w:type="spellEnd"/>
      <w:r>
        <w:t xml:space="preserve"> 38,9 % (</w:t>
      </w:r>
      <w:proofErr w:type="spellStart"/>
      <w:r>
        <w:t>indeks</w:t>
      </w:r>
      <w:proofErr w:type="spellEnd"/>
      <w:r>
        <w:t xml:space="preserve"> 138,9).</w:t>
      </w:r>
    </w:p>
    <w:p w14:paraId="4FEBB3FF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prenesenog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ostvarenog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koji je </w:t>
      </w:r>
      <w:proofErr w:type="spellStart"/>
      <w:r>
        <w:t>uključen</w:t>
      </w:r>
      <w:proofErr w:type="spellEnd"/>
      <w:r>
        <w:t xml:space="preserve"> u </w:t>
      </w:r>
      <w:proofErr w:type="spellStart"/>
      <w:r>
        <w:t>raspoloživa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u </w:t>
      </w:r>
      <w:proofErr w:type="spellStart"/>
      <w:r>
        <w:t>tekućem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20651BD3" w14:textId="77777777" w:rsidR="00E27195" w:rsidRDefault="00E27195"/>
    <w:p w14:paraId="61E92D7D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0DE668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30B5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62CB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F5AB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77185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AFC1E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6EE0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0C3DE6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BF8DC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6F42E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23D8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F8CC8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261.149,43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8B099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1.217.600,37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B8C30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466,2</w:t>
            </w:r>
          </w:p>
        </w:tc>
      </w:tr>
    </w:tbl>
    <w:p w14:paraId="3DC1A1C2" w14:textId="77777777" w:rsidR="00E27195" w:rsidRDefault="00E27195">
      <w:pPr>
        <w:spacing w:after="0"/>
      </w:pPr>
    </w:p>
    <w:p w14:paraId="48676BB7" w14:textId="77777777" w:rsidR="00E27195" w:rsidRDefault="00000000">
      <w:proofErr w:type="spellStart"/>
      <w:r>
        <w:lastRenderedPageBreak/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421–426)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1.217.600,37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261.149,43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956.450,94 EUR, </w:t>
      </w:r>
      <w:proofErr w:type="spellStart"/>
      <w:r>
        <w:t>odnosno</w:t>
      </w:r>
      <w:proofErr w:type="spellEnd"/>
      <w:r>
        <w:t xml:space="preserve"> 366,2 % (</w:t>
      </w:r>
      <w:proofErr w:type="spellStart"/>
      <w:r>
        <w:t>indeks</w:t>
      </w:r>
      <w:proofErr w:type="spellEnd"/>
      <w:r>
        <w:t xml:space="preserve"> 466,2).</w:t>
      </w:r>
    </w:p>
    <w:p w14:paraId="429C15F6" w14:textId="77777777" w:rsidR="00E27195" w:rsidRDefault="00000000"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rekonstrukciju</w:t>
      </w:r>
      <w:proofErr w:type="spellEnd"/>
      <w:r>
        <w:t xml:space="preserve"> cesta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obnove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Gračac. </w:t>
      </w:r>
      <w:proofErr w:type="spellStart"/>
      <w:r>
        <w:t>Nadalje</w:t>
      </w:r>
      <w:proofErr w:type="spellEnd"/>
      <w:r>
        <w:t xml:space="preserve">, </w:t>
      </w:r>
      <w:proofErr w:type="spellStart"/>
      <w:r>
        <w:t>izvršena</w:t>
      </w:r>
      <w:proofErr w:type="spellEnd"/>
      <w:r>
        <w:t xml:space="preserve"> je </w:t>
      </w:r>
      <w:proofErr w:type="spellStart"/>
      <w:r>
        <w:t>nabava</w:t>
      </w:r>
      <w:proofErr w:type="spellEnd"/>
      <w:r>
        <w:t xml:space="preserve"> </w:t>
      </w:r>
      <w:proofErr w:type="spellStart"/>
      <w:r>
        <w:t>uredske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namještaja</w:t>
      </w:r>
      <w:proofErr w:type="spellEnd"/>
      <w:r>
        <w:t xml:space="preserve"> za KIC „</w:t>
      </w:r>
      <w:proofErr w:type="spellStart"/>
      <w:proofErr w:type="gramStart"/>
      <w:r>
        <w:t>Napredak</w:t>
      </w:r>
      <w:proofErr w:type="spellEnd"/>
      <w:r>
        <w:t xml:space="preserve">“ </w:t>
      </w:r>
      <w:proofErr w:type="spellStart"/>
      <w:r>
        <w:t>i</w:t>
      </w:r>
      <w:proofErr w:type="spellEnd"/>
      <w:proofErr w:type="gramEnd"/>
      <w:r>
        <w:t xml:space="preserve"> TIC,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nabava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utjecalo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790346F8" w14:textId="77777777" w:rsidR="00E27195" w:rsidRDefault="00E27195"/>
    <w:p w14:paraId="0DC698AD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0D8880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BCCA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64E01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B2619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16D97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611E6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9687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50E40B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D2949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15B00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F0CED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FE120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3.429.277,23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C5A5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4.489.295,04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3CED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14:paraId="578B4A19" w14:textId="77777777" w:rsidR="00E27195" w:rsidRDefault="00E27195">
      <w:pPr>
        <w:spacing w:after="0"/>
      </w:pPr>
    </w:p>
    <w:p w14:paraId="15A696DF" w14:textId="77777777" w:rsidR="00E27195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X067), koji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4.489.295,04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130,9 %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3.429.277,23 </w:t>
      </w:r>
      <w:proofErr w:type="spellStart"/>
      <w:r>
        <w:t>eura</w:t>
      </w:r>
      <w:proofErr w:type="spellEnd"/>
      <w:r>
        <w:t>.</w:t>
      </w:r>
    </w:p>
    <w:p w14:paraId="32F6B12B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rasta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osobito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po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izvorima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manjem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stabilnom</w:t>
      </w:r>
      <w:proofErr w:type="spellEnd"/>
      <w:r>
        <w:t xml:space="preserve"> </w:t>
      </w:r>
      <w:proofErr w:type="spellStart"/>
      <w:r>
        <w:t>obujmu</w:t>
      </w:r>
      <w:proofErr w:type="spellEnd"/>
      <w:r>
        <w:t>.</w:t>
      </w:r>
    </w:p>
    <w:p w14:paraId="3CF79563" w14:textId="77777777" w:rsidR="00E27195" w:rsidRDefault="00E27195"/>
    <w:p w14:paraId="012ADDD8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08AB20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D6A01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88D9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CCE5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5D74C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14EB5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5564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4B0DF7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6137D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266B9E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B51A2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7876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3.429.277,25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21BD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5.165.841,22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2BB0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150,6</w:t>
            </w:r>
          </w:p>
        </w:tc>
      </w:tr>
    </w:tbl>
    <w:p w14:paraId="71CA8834" w14:textId="77777777" w:rsidR="00E27195" w:rsidRDefault="00E27195">
      <w:pPr>
        <w:spacing w:after="0"/>
      </w:pPr>
    </w:p>
    <w:p w14:paraId="01D829BB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Y034 –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Z005+4)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5.165.841,22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3.429.277,25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1.736.563,97 EUR, </w:t>
      </w:r>
      <w:proofErr w:type="spellStart"/>
      <w:r>
        <w:t>odnosno</w:t>
      </w:r>
      <w:proofErr w:type="spellEnd"/>
      <w:r>
        <w:t xml:space="preserve"> 50,6 % (</w:t>
      </w:r>
      <w:proofErr w:type="spellStart"/>
      <w:r>
        <w:t>indeks</w:t>
      </w:r>
      <w:proofErr w:type="spellEnd"/>
      <w:r>
        <w:t xml:space="preserve"> 150,6).</w:t>
      </w:r>
    </w:p>
    <w:p w14:paraId="5CC5A1B4" w14:textId="77777777" w:rsidR="00E27195" w:rsidRDefault="00000000"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rasta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osobito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kapitalna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cestovnu</w:t>
      </w:r>
      <w:proofErr w:type="spellEnd"/>
      <w:r>
        <w:t xml:space="preserve"> </w:t>
      </w:r>
      <w:proofErr w:type="spellStart"/>
      <w:r>
        <w:t>infrastrukturu</w:t>
      </w:r>
      <w:proofErr w:type="spellEnd"/>
      <w:r>
        <w:t xml:space="preserve">,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Gračac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24D96E21" w14:textId="77777777" w:rsidR="00E27195" w:rsidRDefault="00E27195"/>
    <w:p w14:paraId="4462BC82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C818A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69CDF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CE21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A6659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51D93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C87EA" w14:textId="77777777" w:rsidR="00E27195" w:rsidRPr="00E243AF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43AF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6EAF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6DFD51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1CF1C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32370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3575A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B0578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D840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676.546,18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F5D5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2A2166B3" w14:textId="77777777" w:rsidR="00E27195" w:rsidRDefault="00E27195">
      <w:pPr>
        <w:spacing w:after="0"/>
      </w:pPr>
    </w:p>
    <w:p w14:paraId="5E6DB206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Y004 –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Y004),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(Y034) </w:t>
      </w:r>
      <w:proofErr w:type="spellStart"/>
      <w:r>
        <w:t>i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(X067),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676.546,18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bio </w:t>
      </w:r>
      <w:proofErr w:type="spellStart"/>
      <w:r>
        <w:t>zanemariv</w:t>
      </w:r>
      <w:proofErr w:type="spellEnd"/>
      <w:r>
        <w:t xml:space="preserve"> (0,02 EUR).</w:t>
      </w:r>
    </w:p>
    <w:p w14:paraId="31537795" w14:textId="77777777" w:rsidR="00E27195" w:rsidRDefault="00000000">
      <w:proofErr w:type="spellStart"/>
      <w:r>
        <w:t>Iskazani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značajnih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, </w:t>
      </w:r>
      <w:proofErr w:type="spellStart"/>
      <w:r>
        <w:t>osobito</w:t>
      </w:r>
      <w:proofErr w:type="spellEnd"/>
      <w:r>
        <w:t xml:space="preserve"> u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rekonstrukciju</w:t>
      </w:r>
      <w:proofErr w:type="spellEnd"/>
      <w:r>
        <w:t xml:space="preserve"> cesta,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Gračac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premašili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.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pokriti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prenesenog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>.</w:t>
      </w:r>
    </w:p>
    <w:p w14:paraId="6A1F5C14" w14:textId="77777777" w:rsidR="00E27195" w:rsidRDefault="00E27195"/>
    <w:p w14:paraId="501C5A02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6AB5EA65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02C274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E2591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415B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14EB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4ADE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022F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AA32A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A65DE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8F37F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D244A1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F97D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144FC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6.472.798,03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059C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6.782.507,82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1062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14:paraId="31160110" w14:textId="77777777" w:rsidR="00E27195" w:rsidRDefault="00E27195">
      <w:pPr>
        <w:spacing w:after="0"/>
      </w:pPr>
    </w:p>
    <w:p w14:paraId="34338294" w14:textId="77777777" w:rsidR="00E27195" w:rsidRDefault="00000000">
      <w:proofErr w:type="spellStart"/>
      <w:r>
        <w:t>Ukupna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B002+1)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6.782.507,82 EUR,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6.472.798,03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309.709,79 EUR, </w:t>
      </w:r>
      <w:proofErr w:type="spellStart"/>
      <w:r>
        <w:t>odnosno</w:t>
      </w:r>
      <w:proofErr w:type="spellEnd"/>
      <w:r>
        <w:t xml:space="preserve"> 4,8 % (</w:t>
      </w:r>
      <w:proofErr w:type="spellStart"/>
      <w:r>
        <w:t>indeks</w:t>
      </w:r>
      <w:proofErr w:type="spellEnd"/>
      <w:r>
        <w:t xml:space="preserve"> 104,8).</w:t>
      </w:r>
    </w:p>
    <w:p w14:paraId="37253159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realiziranih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dugotrajnu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osobito</w:t>
      </w:r>
      <w:proofErr w:type="spellEnd"/>
      <w:r>
        <w:t xml:space="preserve"> u </w:t>
      </w:r>
      <w:proofErr w:type="spellStart"/>
      <w:r>
        <w:t>cestovnu</w:t>
      </w:r>
      <w:proofErr w:type="spellEnd"/>
      <w:r>
        <w:t xml:space="preserve"> </w:t>
      </w:r>
      <w:proofErr w:type="spellStart"/>
      <w:r>
        <w:t>infrastrukturu</w:t>
      </w:r>
      <w:proofErr w:type="spellEnd"/>
      <w:r>
        <w:t xml:space="preserve">,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Gračac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p w14:paraId="28E2E50C" w14:textId="77777777" w:rsidR="00E27195" w:rsidRDefault="00E27195"/>
    <w:p w14:paraId="2379BC4D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5DDC12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99FA1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DAC2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2CEC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47ED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3CFC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804C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6F9A6A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2E227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AD1C8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E9071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80E0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1.526.131,48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EE740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2.292.939,72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A71B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</w:tbl>
    <w:p w14:paraId="11FA6056" w14:textId="77777777" w:rsidR="00E27195" w:rsidRDefault="00E27195">
      <w:pPr>
        <w:spacing w:after="0"/>
      </w:pPr>
    </w:p>
    <w:p w14:paraId="4D4E8ACC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0213 – </w:t>
      </w:r>
      <w:proofErr w:type="spellStart"/>
      <w:r>
        <w:t>Ceste</w:t>
      </w:r>
      <w:proofErr w:type="spellEnd"/>
      <w:r>
        <w:t xml:space="preserve">, </w:t>
      </w:r>
      <w:proofErr w:type="spellStart"/>
      <w:r>
        <w:t>željeznice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prometni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stavci</w:t>
      </w:r>
      <w:proofErr w:type="spellEnd"/>
      <w:r>
        <w:t xml:space="preserve"> 0213 – </w:t>
      </w:r>
      <w:proofErr w:type="spellStart"/>
      <w:r>
        <w:t>Ceste</w:t>
      </w:r>
      <w:proofErr w:type="spellEnd"/>
      <w:r>
        <w:t xml:space="preserve">, </w:t>
      </w:r>
      <w:proofErr w:type="spellStart"/>
      <w:r>
        <w:t>željeznice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prometni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2.292.939,72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1.526.131,48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766.808,24 EUR, </w:t>
      </w:r>
      <w:proofErr w:type="spellStart"/>
      <w:r>
        <w:t>odnosno</w:t>
      </w:r>
      <w:proofErr w:type="spellEnd"/>
      <w:r>
        <w:t xml:space="preserve"> 50,2 % (</w:t>
      </w:r>
      <w:proofErr w:type="spellStart"/>
      <w:r>
        <w:t>indeks</w:t>
      </w:r>
      <w:proofErr w:type="spellEnd"/>
      <w:r>
        <w:t xml:space="preserve"> 150,2).</w:t>
      </w:r>
    </w:p>
    <w:p w14:paraId="592F9FDB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rekonstrukciju</w:t>
      </w:r>
      <w:proofErr w:type="spellEnd"/>
      <w:r>
        <w:t xml:space="preserve"> </w:t>
      </w:r>
      <w:proofErr w:type="spellStart"/>
      <w:r>
        <w:t>cestovne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1314760B" w14:textId="77777777" w:rsidR="00E27195" w:rsidRDefault="00E27195"/>
    <w:p w14:paraId="1301438A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1B83D1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8B9CF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D084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3499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BB9E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73FF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D9BE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E5B1D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A44F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D4DB4D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DE074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8A6E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69.432,83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86AF9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95.320,17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CB7F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14:paraId="087877A5" w14:textId="77777777" w:rsidR="00E27195" w:rsidRDefault="00E27195">
      <w:pPr>
        <w:spacing w:after="0"/>
      </w:pPr>
    </w:p>
    <w:p w14:paraId="10929889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0231 – </w:t>
      </w:r>
      <w:proofErr w:type="spellStart"/>
      <w:r>
        <w:t>Prijevozna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cestovnom</w:t>
      </w:r>
      <w:proofErr w:type="spellEnd"/>
      <w:r>
        <w:t xml:space="preserve"> </w:t>
      </w:r>
      <w:proofErr w:type="spellStart"/>
      <w:r>
        <w:t>prometu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stavci</w:t>
      </w:r>
      <w:proofErr w:type="spellEnd"/>
      <w:r>
        <w:t xml:space="preserve"> 0231 – </w:t>
      </w:r>
      <w:proofErr w:type="spellStart"/>
      <w:r>
        <w:t>Prijevozna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cestovnom</w:t>
      </w:r>
      <w:proofErr w:type="spellEnd"/>
      <w:r>
        <w:t xml:space="preserve">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95.320,17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69.432,83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25.887,34 EUR, </w:t>
      </w:r>
      <w:proofErr w:type="spellStart"/>
      <w:r>
        <w:t>odnosno</w:t>
      </w:r>
      <w:proofErr w:type="spellEnd"/>
      <w:r>
        <w:t xml:space="preserve"> 37,3 % (</w:t>
      </w:r>
      <w:proofErr w:type="spellStart"/>
      <w:r>
        <w:t>indeks</w:t>
      </w:r>
      <w:proofErr w:type="spellEnd"/>
      <w:r>
        <w:t xml:space="preserve"> 137,3).</w:t>
      </w:r>
    </w:p>
    <w:p w14:paraId="62F27DF5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0BD71712" w14:textId="77777777" w:rsidR="00E27195" w:rsidRDefault="00E27195"/>
    <w:p w14:paraId="559CB2B4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1EBE9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080D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B0BE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44A19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B8F3A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27E5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6648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8C2A6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C9A5F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026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AE549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AF2E6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026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50FB6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67.644,69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88EC3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114.980,61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999EC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</w:t>
            </w:r>
          </w:p>
        </w:tc>
      </w:tr>
    </w:tbl>
    <w:p w14:paraId="5E74F707" w14:textId="77777777" w:rsidR="00E27195" w:rsidRDefault="00E27195">
      <w:pPr>
        <w:spacing w:after="0"/>
      </w:pPr>
    </w:p>
    <w:p w14:paraId="4835BF0E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026 </w:t>
      </w:r>
      <w:proofErr w:type="spellStart"/>
      <w:r>
        <w:t>i</w:t>
      </w:r>
      <w:proofErr w:type="spellEnd"/>
      <w:r>
        <w:t xml:space="preserve"> 02926 – </w:t>
      </w:r>
      <w:proofErr w:type="spellStart"/>
      <w:r>
        <w:t>Nematerijalna</w:t>
      </w:r>
      <w:proofErr w:type="spellEnd"/>
      <w:r>
        <w:t xml:space="preserve"> </w:t>
      </w:r>
      <w:proofErr w:type="spellStart"/>
      <w:r>
        <w:t>proizvedena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nematerijalne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0261–0264 </w:t>
      </w:r>
      <w:proofErr w:type="spellStart"/>
      <w:r>
        <w:t>umanjeno</w:t>
      </w:r>
      <w:proofErr w:type="spellEnd"/>
      <w:r>
        <w:t xml:space="preserve"> za 02926)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114.980,61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67.644,69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47.335,92 EUR, </w:t>
      </w:r>
      <w:proofErr w:type="spellStart"/>
      <w:r>
        <w:t>odnosno</w:t>
      </w:r>
      <w:proofErr w:type="spellEnd"/>
      <w:r>
        <w:t xml:space="preserve"> 70,0 % (</w:t>
      </w:r>
      <w:proofErr w:type="spellStart"/>
      <w:r>
        <w:t>indeks</w:t>
      </w:r>
      <w:proofErr w:type="spellEnd"/>
      <w:r>
        <w:t xml:space="preserve"> 170,0).</w:t>
      </w:r>
    </w:p>
    <w:p w14:paraId="50EF4B0F" w14:textId="77777777" w:rsidR="00E27195" w:rsidRDefault="00000000">
      <w:proofErr w:type="spellStart"/>
      <w:r>
        <w:lastRenderedPageBreak/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nematerijalne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projektno-tehničku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oblike</w:t>
      </w:r>
      <w:proofErr w:type="spellEnd"/>
      <w:r>
        <w:t xml:space="preserve"> </w:t>
      </w:r>
      <w:proofErr w:type="spellStart"/>
      <w:r>
        <w:t>nematerijalne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071F6987" w14:textId="77777777" w:rsidR="00E27195" w:rsidRDefault="00E27195"/>
    <w:p w14:paraId="5B2002CF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3B1D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8A3D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1D3AF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2A82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8E5B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23EC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F3E3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265107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C9BF8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883710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51C9B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73E33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972.681,64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A06D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622.162,18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5378D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</w:t>
            </w:r>
          </w:p>
        </w:tc>
      </w:tr>
    </w:tbl>
    <w:p w14:paraId="0D891821" w14:textId="77777777" w:rsidR="00E27195" w:rsidRDefault="00E27195">
      <w:pPr>
        <w:spacing w:after="0"/>
      </w:pPr>
    </w:p>
    <w:p w14:paraId="5F6F749E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1 – </w:t>
      </w:r>
      <w:proofErr w:type="spellStart"/>
      <w:r>
        <w:t>Financijska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Financijska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11+12+13+14+15+16+17+19)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622.162,18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972.681,64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350.519,46 EUR, </w:t>
      </w:r>
      <w:proofErr w:type="spellStart"/>
      <w:r>
        <w:t>odnosno</w:t>
      </w:r>
      <w:proofErr w:type="spellEnd"/>
      <w:r>
        <w:t xml:space="preserve"> 36,0 % (</w:t>
      </w:r>
      <w:proofErr w:type="spellStart"/>
      <w:r>
        <w:t>indeks</w:t>
      </w:r>
      <w:proofErr w:type="spellEnd"/>
      <w:r>
        <w:t xml:space="preserve"> 64,0).</w:t>
      </w:r>
    </w:p>
    <w:p w14:paraId="51D9A7F1" w14:textId="77777777" w:rsidR="00E27195" w:rsidRDefault="00000000">
      <w:proofErr w:type="spellStart"/>
      <w:r>
        <w:t>Smanjenje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podmirenje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260C9A86" w14:textId="77777777" w:rsidR="00E27195" w:rsidRDefault="00E27195"/>
    <w:p w14:paraId="4C90D594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7ADB8F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E72D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9A24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2C8A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92A4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7BDD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A7EB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383D14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F6ECA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A0F60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CC778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D0828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6.472.798,03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EBDE7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6.782.507,82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7F27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14:paraId="1A37DEC4" w14:textId="77777777" w:rsidR="00E27195" w:rsidRDefault="00E27195">
      <w:pPr>
        <w:spacing w:after="0"/>
      </w:pPr>
    </w:p>
    <w:p w14:paraId="6C69D214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B003 –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Ukupne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2+9)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6.782.507,82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6.472.798,03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309.709,79 EUR, </w:t>
      </w:r>
      <w:proofErr w:type="spellStart"/>
      <w:r>
        <w:t>odnosno</w:t>
      </w:r>
      <w:proofErr w:type="spellEnd"/>
      <w:r>
        <w:t xml:space="preserve"> 4,8 % (</w:t>
      </w:r>
      <w:proofErr w:type="spellStart"/>
      <w:r>
        <w:t>indeks</w:t>
      </w:r>
      <w:proofErr w:type="spellEnd"/>
      <w:r>
        <w:t xml:space="preserve"> 104,8).</w:t>
      </w:r>
    </w:p>
    <w:p w14:paraId="32AD310B" w14:textId="77777777" w:rsidR="00E27195" w:rsidRDefault="00000000">
      <w:proofErr w:type="spellStart"/>
      <w:r>
        <w:t>Povećanje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strukturi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realiziranih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istodobno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393F3C80" w14:textId="77777777" w:rsidR="00E27195" w:rsidRDefault="00E27195"/>
    <w:p w14:paraId="4A00DB9B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3C454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5B2B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69F9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4BCF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2459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4A75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4AD9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7C205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CA0E6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45682D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A7146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845B2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19.222,29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6B181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131.423,65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474C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683,7</w:t>
            </w:r>
          </w:p>
        </w:tc>
      </w:tr>
    </w:tbl>
    <w:p w14:paraId="696B8342" w14:textId="77777777" w:rsidR="00E27195" w:rsidRDefault="00E27195">
      <w:pPr>
        <w:spacing w:after="0"/>
      </w:pPr>
    </w:p>
    <w:p w14:paraId="5C977389" w14:textId="77777777" w:rsidR="00E27195" w:rsidRDefault="00000000">
      <w:r>
        <w:br/>
      </w:r>
      <w:proofErr w:type="spellStart"/>
      <w:r>
        <w:t>Obveze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131.423,65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iznosile</w:t>
      </w:r>
      <w:proofErr w:type="spellEnd"/>
      <w:r>
        <w:t xml:space="preserve"> 19.222,29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112.201,36 EUR, </w:t>
      </w:r>
      <w:proofErr w:type="spellStart"/>
      <w:r>
        <w:t>odnosno</w:t>
      </w:r>
      <w:proofErr w:type="spellEnd"/>
      <w:r>
        <w:t xml:space="preserve"> 583,7 % (</w:t>
      </w:r>
      <w:proofErr w:type="spellStart"/>
      <w:r>
        <w:t>indeks</w:t>
      </w:r>
      <w:proofErr w:type="spellEnd"/>
      <w:r>
        <w:t xml:space="preserve"> 683,7).</w:t>
      </w:r>
    </w:p>
    <w:p w14:paraId="39383293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promjene</w:t>
      </w:r>
      <w:proofErr w:type="spellEnd"/>
      <w:r>
        <w:t xml:space="preserve"> u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. </w:t>
      </w:r>
      <w:proofErr w:type="spellStart"/>
      <w:r>
        <w:t>Plaća</w:t>
      </w:r>
      <w:proofErr w:type="spellEnd"/>
      <w:r>
        <w:t xml:space="preserve"> za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ranijem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evidentirala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knjižena</w:t>
      </w:r>
      <w:proofErr w:type="spellEnd"/>
      <w:r>
        <w:t xml:space="preserve"> je u </w:t>
      </w:r>
      <w:proofErr w:type="spellStart"/>
      <w:r>
        <w:t>prosincu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>.</w:t>
      </w:r>
    </w:p>
    <w:p w14:paraId="3BF90925" w14:textId="77777777" w:rsidR="00E27195" w:rsidRDefault="00E27195"/>
    <w:p w14:paraId="5BE09ED1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27195" w14:paraId="078C0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9919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41E2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4DFFB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1940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87CFA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F51A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A7085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544B7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A9E4F8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materijalne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1B251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2BE6C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34.261,27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FE569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105.687,17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0E57B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308,5</w:t>
            </w:r>
          </w:p>
        </w:tc>
      </w:tr>
    </w:tbl>
    <w:p w14:paraId="49C48667" w14:textId="77777777" w:rsidR="00E27195" w:rsidRDefault="00E27195">
      <w:pPr>
        <w:spacing w:after="0"/>
      </w:pPr>
    </w:p>
    <w:p w14:paraId="1364E760" w14:textId="77777777" w:rsidR="00E27195" w:rsidRDefault="00000000"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105.687,17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iznosile</w:t>
      </w:r>
      <w:proofErr w:type="spellEnd"/>
      <w:r>
        <w:t xml:space="preserve"> 34.261,27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71.425,90 EUR, </w:t>
      </w:r>
      <w:proofErr w:type="spellStart"/>
      <w:r>
        <w:t>odnosno</w:t>
      </w:r>
      <w:proofErr w:type="spellEnd"/>
      <w:r>
        <w:t xml:space="preserve"> 208,5 % (</w:t>
      </w:r>
      <w:proofErr w:type="spellStart"/>
      <w:r>
        <w:t>indeks</w:t>
      </w:r>
      <w:proofErr w:type="spellEnd"/>
      <w:r>
        <w:t xml:space="preserve"> 308,5).</w:t>
      </w:r>
    </w:p>
    <w:p w14:paraId="210D0C11" w14:textId="77777777" w:rsidR="00E27195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u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 xml:space="preserve">, koji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ranijem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evidentirali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prosincu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>.</w:t>
      </w:r>
    </w:p>
    <w:p w14:paraId="0C94B8E1" w14:textId="77777777" w:rsidR="00E27195" w:rsidRDefault="00E27195"/>
    <w:p w14:paraId="408534E7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514B5F5A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27195" w14:paraId="2E6AA5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5ECF1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FACF2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AA02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DA7C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AEB1E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211BE4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FFEA1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B83FBB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1. </w:t>
            </w:r>
            <w:proofErr w:type="spellStart"/>
            <w:r>
              <w:rPr>
                <w:sz w:val="18"/>
              </w:rPr>
              <w:t>siječnja</w:t>
            </w:r>
            <w:proofErr w:type="spellEnd"/>
            <w:r>
              <w:rPr>
                <w:sz w:val="18"/>
              </w:rPr>
              <w:t xml:space="preserve"> (=</w:t>
            </w:r>
            <w:proofErr w:type="spellStart"/>
            <w:r>
              <w:rPr>
                <w:sz w:val="18"/>
              </w:rPr>
              <w:t>stanju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31. </w:t>
            </w:r>
            <w:proofErr w:type="spellStart"/>
            <w:r>
              <w:rPr>
                <w:sz w:val="18"/>
              </w:rPr>
              <w:t>prosinca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prethodne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godine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1A939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5C3B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154.847,28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19B9F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131B85" w14:textId="77777777" w:rsidR="00E27195" w:rsidRDefault="00E27195">
      <w:pPr>
        <w:spacing w:after="0"/>
      </w:pPr>
    </w:p>
    <w:p w14:paraId="66138F36" w14:textId="77777777" w:rsidR="00E27195" w:rsidRDefault="00000000">
      <w:proofErr w:type="spellStart"/>
      <w:r>
        <w:lastRenderedPageBreak/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1. </w:t>
      </w:r>
      <w:proofErr w:type="spellStart"/>
      <w:r>
        <w:t>siječnja</w:t>
      </w:r>
      <w:proofErr w:type="spellEnd"/>
      <w:r>
        <w:t xml:space="preserve"> </w:t>
      </w:r>
      <w:proofErr w:type="spellStart"/>
      <w:r>
        <w:t>izvještajne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154.847,28 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iskazanom</w:t>
      </w:r>
      <w:proofErr w:type="spellEnd"/>
      <w:r>
        <w:t xml:space="preserve"> u </w:t>
      </w:r>
      <w:proofErr w:type="spellStart"/>
      <w:r>
        <w:t>Izvještaju</w:t>
      </w:r>
      <w:proofErr w:type="spellEnd"/>
      <w:r>
        <w:t xml:space="preserve"> o </w:t>
      </w:r>
      <w:proofErr w:type="spellStart"/>
      <w:r>
        <w:t>obvezama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1769F8EA" w14:textId="77777777" w:rsidR="00E27195" w:rsidRDefault="00000000">
      <w:proofErr w:type="spellStart"/>
      <w:r>
        <w:t>Navedeni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početno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preneseno</w:t>
      </w:r>
      <w:proofErr w:type="spellEnd"/>
      <w:r>
        <w:t xml:space="preserve"> u </w:t>
      </w:r>
      <w:proofErr w:type="spellStart"/>
      <w:r>
        <w:t>tekuću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za </w:t>
      </w:r>
      <w:proofErr w:type="spellStart"/>
      <w:r>
        <w:t>evidentiranje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577EEADE" w14:textId="77777777" w:rsidR="00E27195" w:rsidRDefault="00E27195"/>
    <w:p w14:paraId="3B0539E4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27195" w14:paraId="1329F8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AA13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890F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DBAC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351D7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76E2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2D5F7C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13B86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558A7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Povećanje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izvještajnom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V003+N23+N24 + 'N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6B166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04869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6.538.656,57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69A0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30385D" w14:textId="77777777" w:rsidR="00E27195" w:rsidRDefault="00E27195">
      <w:pPr>
        <w:spacing w:after="0"/>
      </w:pPr>
    </w:p>
    <w:p w14:paraId="2BEF2FF0" w14:textId="77777777" w:rsidR="00E27195" w:rsidRDefault="00000000">
      <w:r>
        <w:t> </w:t>
      </w:r>
    </w:p>
    <w:p w14:paraId="120ED019" w14:textId="77777777" w:rsidR="00E27195" w:rsidRPr="00E243AF" w:rsidRDefault="00000000">
      <w:pPr>
        <w:rPr>
          <w:lang w:val="pl-PL"/>
        </w:rPr>
      </w:pPr>
      <w:proofErr w:type="spellStart"/>
      <w:r>
        <w:t>Navedeno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preuzete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evidentiranih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računovodstvom</w:t>
      </w:r>
      <w:proofErr w:type="spellEnd"/>
      <w:r>
        <w:t xml:space="preserve">. </w:t>
      </w:r>
      <w:r w:rsidRPr="00E243AF">
        <w:rPr>
          <w:lang w:val="pl-PL"/>
        </w:rPr>
        <w:t>Povećanje obveza rezultat je redovnog poslovanja i realizacije planiranih programa i projekata u izvještajnom razdoblju.</w:t>
      </w:r>
    </w:p>
    <w:p w14:paraId="5D52149D" w14:textId="77777777" w:rsidR="00E27195" w:rsidRPr="00E243AF" w:rsidRDefault="00E27195">
      <w:pPr>
        <w:rPr>
          <w:lang w:val="pl-PL"/>
        </w:rPr>
      </w:pPr>
    </w:p>
    <w:p w14:paraId="30EDBA74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27195" w14:paraId="28B64E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6D1C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B814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AAE6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053D8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D5D70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3C26CD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25DA2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FEFB14" w14:textId="77777777" w:rsidR="00E27195" w:rsidRPr="00E243AF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43AF">
              <w:rPr>
                <w:sz w:val="18"/>
                <w:lang w:val="pl-PL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2DF0C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38C5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276.380,74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C2CFE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93C388" w14:textId="77777777" w:rsidR="00E27195" w:rsidRDefault="00E27195">
      <w:pPr>
        <w:spacing w:after="0"/>
      </w:pPr>
    </w:p>
    <w:p w14:paraId="3AC11146" w14:textId="77777777" w:rsidR="00E27195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V006 –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V001+V002−V004), </w:t>
      </w:r>
      <w:proofErr w:type="spellStart"/>
      <w:r>
        <w:t>odnosno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V007+V009), </w:t>
      </w:r>
      <w:proofErr w:type="spellStart"/>
      <w:r>
        <w:t>iznosi</w:t>
      </w:r>
      <w:proofErr w:type="spellEnd"/>
      <w:r>
        <w:t xml:space="preserve"> 276.380,74 EUR.</w:t>
      </w:r>
    </w:p>
    <w:p w14:paraId="1BC06E3E" w14:textId="77777777" w:rsidR="00E27195" w:rsidRDefault="00000000">
      <w:proofErr w:type="spellStart"/>
      <w:r>
        <w:t>Navedeni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izvještajne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redovnim</w:t>
      </w:r>
      <w:proofErr w:type="spellEnd"/>
      <w:r>
        <w:t xml:space="preserve"> </w:t>
      </w:r>
      <w:proofErr w:type="spellStart"/>
      <w:r>
        <w:t>poslovanjem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realizacijom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405202C3" w14:textId="77777777" w:rsidR="00E27195" w:rsidRDefault="00E27195"/>
    <w:p w14:paraId="2540BC32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27195" w14:paraId="2E0543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09D5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0B78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E3E64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C5593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BBAAD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54A905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20E99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26D255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FDD0D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FEADA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7.691,46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190B2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3B93E8" w14:textId="77777777" w:rsidR="00E27195" w:rsidRDefault="00E27195">
      <w:pPr>
        <w:spacing w:after="0"/>
      </w:pPr>
    </w:p>
    <w:p w14:paraId="4FA630CE" w14:textId="77777777" w:rsidR="00E27195" w:rsidRDefault="00000000">
      <w:proofErr w:type="spellStart"/>
      <w:r>
        <w:lastRenderedPageBreak/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V007 –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V008+D23+D24+„D </w:t>
      </w:r>
      <w:proofErr w:type="spellStart"/>
      <w:r>
        <w:t>dio</w:t>
      </w:r>
      <w:proofErr w:type="spellEnd"/>
      <w:r>
        <w:t xml:space="preserve"> 25,26“+D27) </w:t>
      </w:r>
      <w:proofErr w:type="spellStart"/>
      <w:r>
        <w:t>iznosi</w:t>
      </w:r>
      <w:proofErr w:type="spellEnd"/>
      <w:r>
        <w:t xml:space="preserve"> 7.691,46 EUR.</w:t>
      </w:r>
    </w:p>
    <w:p w14:paraId="35AB1CB0" w14:textId="77777777" w:rsidR="00E27195" w:rsidRDefault="00000000">
      <w:proofErr w:type="spellStart"/>
      <w:r>
        <w:t>Navedene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ne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dugotrajna</w:t>
      </w:r>
      <w:proofErr w:type="spellEnd"/>
      <w:r>
        <w:t xml:space="preserve"> </w:t>
      </w:r>
      <w:proofErr w:type="spellStart"/>
      <w:r>
        <w:t>kašnjenja</w:t>
      </w:r>
      <w:proofErr w:type="spellEnd"/>
      <w:r>
        <w:t xml:space="preserve"> u </w:t>
      </w:r>
      <w:proofErr w:type="spellStart"/>
      <w:r>
        <w:t>plaćanju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plaćene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</w:t>
      </w:r>
      <w:proofErr w:type="spellStart"/>
      <w:r>
        <w:t>sljedećeg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00785B37" w14:textId="77777777" w:rsidR="00E27195" w:rsidRDefault="00E27195"/>
    <w:p w14:paraId="24500734" w14:textId="77777777" w:rsidR="00E27195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27195" w14:paraId="38649F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10E8A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78F6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51449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7F69C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C7A16" w14:textId="77777777" w:rsidR="00E27195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27195" w14:paraId="7D2348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21320" w14:textId="77777777" w:rsidR="00E27195" w:rsidRDefault="00E271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B45BD5" w14:textId="77777777" w:rsidR="00E2719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3F6D7" w14:textId="77777777" w:rsidR="00E271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13E58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268.689,28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17E34" w14:textId="77777777" w:rsidR="00E271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981518" w14:textId="77777777" w:rsidR="00E27195" w:rsidRDefault="00E27195">
      <w:pPr>
        <w:spacing w:after="0"/>
      </w:pPr>
    </w:p>
    <w:p w14:paraId="5E6E2324" w14:textId="77777777" w:rsidR="00E27195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V010 + ND23 + ND24 + „ND </w:t>
      </w:r>
      <w:proofErr w:type="spellStart"/>
      <w:r>
        <w:t>dio</w:t>
      </w:r>
      <w:proofErr w:type="spellEnd"/>
      <w:r>
        <w:t xml:space="preserve"> 25,</w:t>
      </w:r>
      <w:proofErr w:type="gramStart"/>
      <w:r>
        <w:t>26“ +</w:t>
      </w:r>
      <w:proofErr w:type="gramEnd"/>
      <w:r>
        <w:t xml:space="preserve"> ND27) </w:t>
      </w:r>
      <w:proofErr w:type="spellStart"/>
      <w:r>
        <w:t>iznosi</w:t>
      </w:r>
      <w:proofErr w:type="spellEnd"/>
      <w:r>
        <w:t xml:space="preserve"> 268.689,28 EUR.</w:t>
      </w:r>
    </w:p>
    <w:p w14:paraId="42470BB9" w14:textId="77777777" w:rsidR="00E27195" w:rsidRDefault="00000000">
      <w:proofErr w:type="spellStart"/>
      <w:r>
        <w:t>Navedeni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izvještajne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naplatu</w:t>
      </w:r>
      <w:proofErr w:type="spellEnd"/>
      <w:r>
        <w:t xml:space="preserve">, a </w:t>
      </w:r>
      <w:proofErr w:type="spellStart"/>
      <w:r>
        <w:t>proizlaze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ugovorenih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.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u </w:t>
      </w:r>
      <w:proofErr w:type="spellStart"/>
      <w:r>
        <w:t>rokovima</w:t>
      </w:r>
      <w:proofErr w:type="spellEnd"/>
      <w:r>
        <w:t xml:space="preserve"> </w:t>
      </w:r>
      <w:proofErr w:type="spellStart"/>
      <w:r>
        <w:t>dospijeća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sljedećeg</w:t>
      </w:r>
      <w:proofErr w:type="spellEnd"/>
      <w:r>
        <w:t xml:space="preserve"> </w:t>
      </w:r>
      <w:proofErr w:type="spellStart"/>
      <w:r>
        <w:t>obračunskog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3A998469" w14:textId="77777777" w:rsidR="00E27195" w:rsidRDefault="00E27195"/>
    <w:sectPr w:rsidR="00E271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95"/>
    <w:rsid w:val="00E243AF"/>
    <w:rsid w:val="00E27195"/>
    <w:rsid w:val="00F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4156"/>
  <w15:docId w15:val="{97ABE0DD-7DEF-49F8-8597-F765EFE3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4274</Words>
  <Characters>24367</Characters>
  <Application>Microsoft Office Word</Application>
  <DocSecurity>0</DocSecurity>
  <Lines>203</Lines>
  <Paragraphs>57</Paragraphs>
  <ScaleCrop>false</ScaleCrop>
  <Company/>
  <LinksUpToDate>false</LinksUpToDate>
  <CharactersWithSpaces>28584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2</cp:revision>
  <dcterms:created xsi:type="dcterms:W3CDTF">2026-02-19T08:21:00Z</dcterms:created>
  <dcterms:modified xsi:type="dcterms:W3CDTF">2026-02-19T08:21:00Z</dcterms:modified>
</cp:coreProperties>
</file>