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6f1c50df109410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34483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GRAČAC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3.401.389,01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4.406.766,51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3.099.031,31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3.765.292,09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302.357,70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641.474,42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39.528,53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330.245,94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1.400.549,13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302.357,72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1.361.020,60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719.546,18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bl>
    <w:p>
      <w:pPr>
        <w:spacing w:before="0" w:after="0"/>
      </w:pPr>
    </w:p>
    <w:p>
      <w:r>
        <w:t xml:space="preserve">U obrascu PR-RAS za izvještajno razdoblje iskazani su sljedeći podaci:</w:t>
      </w:r>
    </w:p>
    <w:p>
      <w:r>
        <w:t xml:space="preserve">Ukupni prihodi poslovanja (šifra 6) ostvareni su u iznosu od 4.406.766,51, dok su ukupni rashodi poslovanja (šifra 3) iznosili 3.765.292,09. Slijedom navedenog, ostvaren je višak prihoda poslovanja (šifra X001) u iznosu od 641.474,42.</w:t>
      </w:r>
    </w:p>
    <w:p>
      <w:r>
        <w:t xml:space="preserve">Ukupni prihodi od prodaje nefinancijske imovine (šifra 7) ostvareni su u iznosu od 39.528,53, dok su ukupni rashodi za nabavu nefinancijske imovine (šifra 4) iznosili 1.400.549,13. Iz navedenog proizlazi manjak prihoda od nefinancijske imovine (šifra Y002) u iznosu od 1.361.020,60, koji je rezultat značajnijih ulaganja u nabavu nefinancijske imovine tijekom izvještajnog razdoblja.</w:t>
      </w:r>
    </w:p>
    <w:p>
      <w:r>
        <w:t xml:space="preserve">U izvještajnom razdoblju nisu ostvareni primici od financijske imovine i zaduživanja (šifra 8), niti su evidentirani izdaci za financijsku imovinu i otplate zajmova (šifra 5), te je višak/manjak primitaka od financijske imovine i zaduživanja (šifre X003/Y003) iskazan u iznosu od 0,00.</w:t>
      </w:r>
    </w:p>
    <w:p>
      <w:r>
        <w:t xml:space="preserve">Uzimajući u obzir ostvareni višak prihoda poslovanja te manjak prihoda od nefinancijske imovine, ukupno je iskazan manjak prihoda i primitaka (šifra Y005) u iznosu od 719.546,18.</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3.401.389,01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4.406.766,51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Prihodi poslovanja (šifra 6) u izvještajnom razdoblju ostvareni su u iznosu od 4.449.766,51 eura, što predstavlja 130,8 % u odnosu na ostvarenje prethodne godine, kada su iznosili 3.401.389,01 eura.</w:t>
      </w:r>
    </w:p>
    <w:p>
      <w:r>
        <w:t xml:space="preserve">Ostvareni rast prihoda poslovanja rezultat je povećanog opsega poslovnih aktivnosti  tj. povećanja prihoda po pojedinim skupinama (61–68).</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830.011,62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753.716,95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w:t>
            </w:r>
          </w:p>
        </w:tc>
      </w:tr>
    </w:tbl>
    <w:p>
      <w:pPr>
        <w:spacing w:before="0" w:after="0"/>
      </w:pPr>
    </w:p>
    <w:p>
      <w:r>
        <w:t xml:space="preserve">Prihodi od poreza (šifre 611–616) u izvještajnom razdoblju iznose 753.716,95 EUR, dok su u prethodnom razdoblju iznosili 830.011,62 EUR.</w:t>
      </w:r>
    </w:p>
    <w:p>
      <w:r>
        <w:t xml:space="preserve">U odnosu na prethodnu godinu evidentirano je smanjenje prihoda za 76.294,67 EUR, odnosno 9,2 % (indeks 90,8).</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795.799,93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664.565,85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w:t>
            </w:r>
          </w:p>
        </w:tc>
      </w:tr>
    </w:tbl>
    <w:p>
      <w:pPr>
        <w:spacing w:before="0" w:after="0"/>
      </w:pPr>
    </w:p>
    <w:p>
      <w:r>
        <w:t xml:space="preserve">Prihodi od poreza na dohodak od nesamostalnog rada u izvještajnom razdoblju iznose 664.565,85 EUR, dok su u prethodnom razdoblju iznosili 795.799,93 EUR, što predstavlja smanjenje od 131.234,08 EUR, odnosno 16,5 % (indeks 83,5).</w:t>
      </w:r>
    </w:p>
    <w:p>
      <w:r>
        <w:t xml:space="preserve">Smanjenje prihoda djelomično je rezultat zakonskih izmjena u sustavu poreza na dohodak koje su stupile na snagu 1. siječnja 2025. godine, a koje uključuju povećanje osnovnog osobnog odbitka te izmjene u određivanju poreznih stopa. Navedene promjene dovele su do smanjenja porezne osnovice i porezne obveze poreznih obveznika.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kapitala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48.439,85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559,2</w:t>
            </w:r>
          </w:p>
        </w:tc>
      </w:tr>
    </w:tbl>
    <w:p>
      <w:pPr>
        <w:spacing w:before="0" w:after="0"/>
      </w:pPr>
    </w:p>
    <w:p>
      <w:r>
        <w:t xml:space="preserve">Prihodi od poreza na dohodak od kapitala u izvještajnom razdoblju iznose 48.439,85 EUR, dok su u prethodnom razdoblju iznosili 8.661,76 EUR.</w:t>
      </w:r>
    </w:p>
    <w:p>
      <w:r>
        <w:t xml:space="preserve">U odnosu na prethodnu godinu evidentirano je povećanje prihoda za 39.778,09 EUR, odnosno 459,2 % (indeks 559,2).S obzirom na to da se ova vrsta prihoda najvećim dijelom ostvaruje povremeno (npr. po osnovi isplate dividendi ili prodaje imovine), značajnija odstupanja u odnosu na prethodnu godinu najčešće su rezultat pojedinačnih većih isplata ili transakcija, a ne nužno trajnog povećanja porezne osnovice.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Povrat poreza na dohodak po godišnjoj prijavi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196.920,04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232.448,95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Povećanje povrata poreza na dohodak po godišnjoj prijavi rezultat je zakonskih izmjena koje su stupile na snagu 1. siječnja 2025. godine, osobito povećanja osnovnog osobnog odbitka, što je dovelo do većeg broja poreznih obveznika s pravom na povrat te viših iznosa povrata, a time i smanjenja neto prihoda od poreza na dohodak.</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117.849,50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120.501,56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Prihodi od poreza na imovinu (šifre 6131–6135) u izvještajnom razdoblju iznose 120.501,56 EUR, dok su u prethodnom razdoblju iznosili 117.849,50 EUR, što predstavlja povećanje od 2.652,06 EUR, odnosno 2,3 % (indeks 102,3).</w:t>
      </w:r>
    </w:p>
    <w:p>
      <w:r>
        <w:t xml:space="preserve">Prihodi se odnose na porez na kuće za odmor i porez na promet nekretnina. Blago povećanje u odnosu na prethodnu godinu rezultat je većeg broja evidentiranih transakcija nekretninama te ažuriranja obveznika poreza na kuće za odmor u promatranom razdoblju.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1.593.616,32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2.677.228,48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w:t>
            </w:r>
          </w:p>
        </w:tc>
      </w:tr>
    </w:tbl>
    <w:p>
      <w:pPr>
        <w:spacing w:before="0" w:after="0"/>
      </w:pPr>
    </w:p>
    <w:p>
      <w:r>
        <w:t xml:space="preserve">Na skupini 63 – Pomoći iz inozemstva i od subjekata unutar općeg proračuna (šifre 631+632+633+634+635+636+637+638+639) ostvareni su prihodi u iznosu od 2.677.228,48, dok su u prethodnom razdoblju iznosili 1.593.616,32.</w:t>
      </w:r>
    </w:p>
    <w:p>
      <w:r>
        <w:t xml:space="preserve">U odnosu na prethodno razdoblje evidentirano je povećanje prihoda u iznosu od 1.083.612,16.</w:t>
      </w:r>
    </w:p>
    <w:p>
      <w:r>
        <w:t xml:space="preserve">Značajno povećanje prihoda rezultat je većeg ostvarenja pomoći iz državnog i drugih proračuna te eventualnih pomoći iz inozemstva, ponajprije za financiranje tekućih i kapitalnih projekata, kao i za provedbu decentraliziranih funkcija i drugih namjenskih programa u izvještajnom razdoblju.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1.102.665,70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2.154.282,82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w:t>
            </w:r>
          </w:p>
        </w:tc>
      </w:tr>
    </w:tbl>
    <w:p>
      <w:pPr>
        <w:spacing w:before="0" w:after="0"/>
      </w:pPr>
    </w:p>
    <w:p>
      <w:r>
        <w:t xml:space="preserve">Prihodi od pomoći iz drugih proračuna (šifre 6331–6332) u izvještajnom razdoblju iznose 2.154.282,82 EUR, dok su u prethodnom razdoblju iznosili 1.102.665,70 EUR.</w:t>
      </w:r>
    </w:p>
    <w:p>
      <w:r>
        <w:t xml:space="preserve">U odnosu na prethodnu godinu evidentirano je povećanje za 1.051.617,12 EUR, odnosno 95,4 % (indeks 195,4).</w:t>
      </w:r>
    </w:p>
    <w:p>
      <w:r>
        <w:t xml:space="preserve">Značajan rast prihoda rezultat je većeg obujma doznačenih sredstava iz državnog, županijskog i drugih proračuna, ponajprije za financiranje i sufinanciranje projekata te provedbu programa u izvještajnom razdoblju.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490.950,62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522.945,66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Na skupini 635 – Pomoći izravnanja za decentralizirane funkcije i fiskalnog izravnanja (šifre 6351 do 6353) iskazani su prihodi u iznosu od 522.945,66, dok su u prethodnom razdoblju iznosili 490.950,62.</w:t>
      </w:r>
    </w:p>
    <w:p>
      <w:r>
        <w:t xml:space="preserve">U odnosu na prethodno razdoblje evidentirano je povećanje prihoda u iznosu od 31.995,04.</w:t>
      </w:r>
    </w:p>
    <w:p>
      <w:r>
        <w:t xml:space="preserve">Odstupanje se odnosi na usklađenje i raspodjelu sredstava fiskalnog izravnanja te pomoći za financiranje decentraliziranih funkcija, sukladno važećim propisima i odlukama nadležnih tijela.</w:t>
      </w:r>
    </w:p>
    <w:p>
      <w:r>
        <w:t xml:space="preserv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587.200,69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550.393,62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w:t>
            </w:r>
          </w:p>
        </w:tc>
      </w:tr>
    </w:tbl>
    <w:p>
      <w:pPr>
        <w:spacing w:before="0" w:after="0"/>
      </w:pPr>
    </w:p>
    <w:p>
      <w:r>
        <w:t xml:space="preserve">Prihodi od imovine (šifre 641–643) u izvještajnom razdoblju iznose 550.393,62 EUR, dok su u prethodnom razdoblju iznosili 587.200,69 EUR, što predstavlja smanjenje od 36.807,07 EUR, odnosno 6,3 % (indeks 93,7).</w:t>
      </w:r>
    </w:p>
    <w:p>
      <w:r>
        <w:t xml:space="preserve">Prihodi se odnose na naknade za eksploataciju mineralnih sirovina, zakup poslovnih objekata, naknade za korištenje vjetroelektrana, kamate na depozite te ostale prihode od imovine.</w:t>
      </w:r>
    </w:p>
    <w:p>
      <w:r>
        <w:t xml:space="preserve">Smanjenje prihoda u odnosu na prethodnu godinu rezultat je nižih ostvarenih prihoda po pojedinim osnovama, ponajprije naknada i kamata, u izvještajnom razdoblju.</w:t>
      </w:r>
      <w:r>
        <w:br/>
      </w:r>
      <w:r>
        <w:t xml:space="preserve"> </w:t>
      </w:r>
      <w:r>
        <w:br/>
      </w:r>
      <w:r>
        <w:t xml:space="preserve"> </w:t>
      </w:r>
      <w:r>
        <w:br/>
      </w:r>
      <w:r>
        <w:t xml:space="preserv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586.396,78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549.970,83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w:t>
            </w:r>
          </w:p>
        </w:tc>
      </w:tr>
    </w:tbl>
    <w:p>
      <w:pPr>
        <w:spacing w:before="0" w:after="0"/>
      </w:pPr>
    </w:p>
    <w:p>
      <w:r>
        <w:t xml:space="preserve">Prihodi od nefinancijske imovine (šifre 6421–6429) u izvještajnom razdoblju iznose 549.970,83 EUR, dok su u prethodnom razdoblju iznosili 586.396,78 EUR, što predstavlja smanjenje od 36.425,95 EUR, odnosno 6,2 % (indeks 93,8).</w:t>
      </w:r>
    </w:p>
    <w:p>
      <w:r>
        <w:t xml:space="preserve">Prihodi se u cijelosti odnose na naknade za korištenje vjetroelektrana.</w:t>
      </w:r>
    </w:p>
    <w:p>
      <w:r>
        <w:t xml:space="preserve">Smanjenje prihoda u odnosu na prethodnu godinu rezultat je niže obračunate i doznačene naknade za korištenje vjetroelektrana u izvještajnom razdoblju.</w:t>
      </w:r>
      <w:r>
        <w:br/>
      </w:r>
      <w:r>
        <w:t xml:space="preserve"> </w:t>
      </w:r>
      <w:r>
        <w:br/>
      </w:r>
      <w:r>
        <w:t xml:space="preserve"> </w:t>
      </w:r>
      <w:r>
        <w:br/>
      </w:r>
      <w:r>
        <w:t xml:space="preserv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376.189,98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400.858,53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Prihodi od upravnih i administrativnih pristojbi, pristojbi po posebnim propisima i naknada (šifre 651–654) u izvještajnom razdoblju iznose 400.858,53 EUR, dok su u prethodnom razdoblju iznosili 376.189,98 EUR, što predstavlja povećanje od 24.668,55 EUR, odnosno 6,6 % (indeks 106,6).</w:t>
      </w:r>
    </w:p>
    <w:p>
      <w:r>
        <w:t xml:space="preserve">Povećanje prihoda rezultat je većeg ostvarenja šumskog doprinosa te povećanja prihoda od komunalne naknade u izvještajnom razdoblju u odnosu na prethodnu 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251.930,07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278.585,95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Prihodi od komunalne naknade u izvještajnom razdoblju iznose 278.585,95 EUR, dok su u prethodnom razdoblju iznosili 251.930,07 EUR, što predstavlja povećanje od 26.655,88 EUR, odnosno 10,6 % (indeks 110,6).</w:t>
      </w:r>
    </w:p>
    <w:p>
      <w:r>
        <w:t xml:space="preserve">Povećanje prihoda rezultat je provedenih postupaka prisilne naplate dospjelih potraživanja u izvještajnom razdoblju.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3.099.031,31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3.765.292,09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Bilješka uz stavku 3 – Rashodi poslovanja (u eurima)</w:t>
      </w:r>
      <w:r>
        <w:br/>
      </w:r>
      <w:r>
        <w:t xml:space="preserve">Ukupni rashodi poslovanja (šifre 31+32+34+35+36+37+38) u izvještajnom razdoblju iznose 3.765.292,09 EUR, dok su u prethodnom razdoblju iznosili 3.099.031,31 EUR, što predstavlja povećanje od 666.260,78 EUR, odnosno 21,5 % (indeks 121,5).</w:t>
      </w:r>
    </w:p>
    <w:p>
      <w:r>
        <w:t xml:space="preserve">Povećanje rashoda poslovanja rezultat je većeg obujma aktivnosti i realizacije programa te povećanih troškova u pojedinim skupinama rashoda tijekom izvještajnog razdoblja.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224.233,03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240.174,98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Rashodi za bruto plaće (šifre 3111–3114) u izvještajnom razdoblju iznose 240.174,98 EUR, dok su u prethodnom razdoblju iznosili 224.233,03 EUR, što predstavlja povećanje od 15.941,95 EUR, odnosno 7,1 % (indeks 107,1).</w:t>
      </w:r>
    </w:p>
    <w:p>
      <w:r>
        <w:t xml:space="preserve">Povećanje rashoda rezultat je isplate naknade općinskom načelniku po prestanku profesionalnog obnašanja dužnosti, sukladno odredbama Zakona o lokalnoj i područnoj (regionalnoj) samoupravi i Zakona o obvezama i pravima državnih dužnosnika, kojima je propisano pravo na naknadu plaće nakon prestanka mandata.</w:t>
      </w:r>
      <w:r>
        <w:br/>
      </w:r>
      <w:r>
        <w:t xml:space="preserve"> </w:t>
      </w:r>
      <w:r>
        <w:br/>
      </w:r>
      <w:r>
        <w:t xml:space="preserve"> </w:t>
      </w:r>
      <w:r>
        <w:br/>
      </w:r>
      <w:r>
        <w:t xml:space="preserv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1.041.917,63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973.631,31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w:t>
            </w:r>
          </w:p>
        </w:tc>
      </w:tr>
    </w:tbl>
    <w:p>
      <w:pPr>
        <w:spacing w:before="0" w:after="0"/>
      </w:pPr>
    </w:p>
    <w:p>
      <w:r>
        <w:t xml:space="preserve">Materijalni rashodi (šifre 321–329) u izvještajnom razdoblju iznose 973.631,31 EUR, dok su u prethodnom razdoblju iznosili 1.041.917,63 EUR, što predstavlja smanjenje od 68.286,32 EUR, odnosno 6,6 %.</w:t>
      </w:r>
    </w:p>
    <w:p>
      <w:r>
        <w:t xml:space="preserve">Smanjenje materijalnih rashoda rezultat je racionalizacije troškova te nižeg ostvarenja pojedinih vrsta rashoda u izvještajnom razdoblju u odnosu na prethodnu godinu.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287,0</w:t>
            </w:r>
          </w:p>
        </w:tc>
      </w:tr>
    </w:tbl>
    <w:p>
      <w:pPr>
        <w:spacing w:before="0" w:after="0"/>
      </w:pPr>
    </w:p>
    <w:p>
      <w:r>
        <w:t xml:space="preserve">Rashodi za zakupnine i najamnine u izvještajnom razdoblju iznose 5.158,02 EUR, dok su u prethodnom razdoblju iznosili 1.797,24 EUR, što predstavlja povećanje od 3.360,78 EUR, odnosno 187,0 % (indeks 287,0).</w:t>
      </w:r>
    </w:p>
    <w:p>
      <w:r>
        <w:t xml:space="preserve">Povećanje rashoda evidentirano je zbog zakupa prostora za provedbu lokalnih izbora te troškova zakupnina i licenci za projekcije dječjih filmova u okviru organiziranih kulturnih i društvenih manifestacija.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24.446,49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w:t>
            </w:r>
          </w:p>
        </w:tc>
      </w:tr>
    </w:tbl>
    <w:p>
      <w:pPr>
        <w:spacing w:before="0" w:after="0"/>
      </w:pPr>
    </w:p>
    <w:p>
      <w:r>
        <w:t xml:space="preserve">Rashodi po osnovi naknada za rad predstavničkih i izvršnih tijela, povjerenstava i slično u izvještajnom razdoblju iznose 44.936,72 EUR, dok su u prethodnom razdoblju iznosili 24.446,49 EUR, što predstavlja povećanje od 20.490,23 EUR, odnosno 83,8 % (indeks 183,8).</w:t>
      </w:r>
    </w:p>
    <w:p>
      <w:r>
        <w:t xml:space="preserve">Značajno povećanje rashoda u odnosu na prethodnu godinu rezultat je provedbe lokalnih izbora u izvještajnom razdoblju. Rashodi se odnose na naknade članovima izbornih povjerenstava, biračkih odbora te ostalih radnih tijela uključenih u organizaciju i provedbu izbora. Budući da se izbori ne održavaju svake godine, navedeni troškovi imaju povremeni karakter te predstavljaju jednokratno povećanje rashoda u promatranom razdoblju.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w:t>
            </w:r>
          </w:p>
        </w:tc>
      </w:tr>
    </w:tbl>
    <w:p>
      <w:pPr>
        <w:spacing w:before="0" w:after="0"/>
      </w:pPr>
    </w:p>
    <w:p>
      <w:r>
        <w:t xml:space="preserve">Bilješka uz stavku 3293 – Reprezentacija (u eurima)</w:t>
      </w:r>
      <w:r>
        <w:br/>
      </w:r>
      <w:r>
        <w:t xml:space="preserve">Rashodi za reprezentaciju u izvještajnom razdoblju iznose 26.546,46 EUR, dok su u prethodnom razdoblju iznosili 17.083,65 EUR, što predstavlja povećanje od 9.462,81 EUR, odnosno 55,4 % (indeks 155,4).</w:t>
      </w:r>
    </w:p>
    <w:p>
      <w:r>
        <w:t xml:space="preserve">Povećanje rashoda evidentirano je zbog većeg broja održanih protokolarnih aktivnosti, službenih prijema, obilježavanja prigodnih datuma te organizacije društvenih i kulturnih događanja u izvještajnom razdoblju.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471.736,73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1206,5</w:t>
            </w:r>
          </w:p>
        </w:tc>
      </w:tr>
    </w:tbl>
    <w:p>
      <w:pPr>
        <w:spacing w:before="0" w:after="0"/>
      </w:pPr>
    </w:p>
    <w:p>
      <w:r>
        <w:t xml:space="preserve">Bilješka uz stavku 363 – Pomoći drugom proračunu i izvanproračunskim korisnicima (u eurima)</w:t>
      </w:r>
      <w:r>
        <w:br/>
      </w:r>
      <w:r>
        <w:t xml:space="preserve">Rashodi za pomoći drugom proračunu i izvanproračunskim korisnicima (šifre 3631–3636) u izvještajnom razdoblju iznose 471.736,73 EUR, dok su u prethodnom razdoblju iznosili 39.100,00 EUR, što predstavlja povećanje od 432.636,73 EUR, odnosno 1.106,5 % (indeks 1206,5).</w:t>
      </w:r>
    </w:p>
    <w:p>
      <w:r>
        <w:t xml:space="preserve">Značajno povećanje rashoda rezultat je povrata sredstava u državni proračun zbog isteka roka za provedbu projekta, sukladno ugovornim obvezama i odredbama o financiranju projekta.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3.132.997,14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4.351.910,70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w:t>
            </w:r>
          </w:p>
        </w:tc>
      </w:tr>
    </w:tbl>
    <w:p>
      <w:pPr>
        <w:spacing w:before="0" w:after="0"/>
      </w:pPr>
    </w:p>
    <w:p>
      <w:r>
        <w:t xml:space="preserve">Bilješka uz stavku 92211 – Višak prihoda poslovanja – preneseni (u eurima)</w:t>
      </w:r>
      <w:r>
        <w:br/>
      </w:r>
      <w:r>
        <w:t xml:space="preserve">Preneseni višak prihoda poslovanja na početku izvještajnog razdoblja iznosi 4.351.910,70 EUR, dok je u prethodnom razdoblju iznosio 3.132.997,14 EUR, što predstavlja povećanje od 1.218.913,56 EUR, odnosno 38,9 % (indeks 138,9).</w:t>
      </w:r>
    </w:p>
    <w:p>
      <w:r>
        <w:t xml:space="preserve">Povećanje prenesenog viška rezultat je ostvarenog viška prihoda poslovanja u prethodnoj godini, koji je uključen u raspoloživa sredstva za financiranje rashoda i izdataka u tekućem razdoblju.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261.149,43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1.217.600,37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466,2</w:t>
            </w:r>
          </w:p>
        </w:tc>
      </w:tr>
    </w:tbl>
    <w:p>
      <w:pPr>
        <w:spacing w:before="0" w:after="0"/>
      </w:pPr>
    </w:p>
    <w:p>
      <w:r>
        <w:t xml:space="preserve">Rashodi za nabavu proizvedene dugotrajne imovine (šifre 421–426) u izvještajnom razdoblju iznose 1.217.600,37 EUR, dok su u prethodnom razdoblju iznosili 261.149,43 EUR, što predstavlja povećanje od 956.450,94 EUR, odnosno 366,2 % (indeks 466,2).</w:t>
      </w:r>
    </w:p>
    <w:p>
      <w:r>
        <w:t xml:space="preserve">Značajno povećanje rashoda odnosi se na ulaganja u izgradnju i rekonstrukciju cesta te provedbu projekta energetske obnove zgrade Općine Gračac. Nadalje, izvršena je nabava uredske opreme i namještaja za KIC „Napredak“ i TIC, kao i nabava službenog vozila, što je dodatno utjecalo na povećanje rashoda u izvještajnom razdoblju.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3.429.277,23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4.446.295,04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129,7</w:t>
            </w:r>
          </w:p>
        </w:tc>
      </w:tr>
    </w:tbl>
    <w:p>
      <w:pPr>
        <w:spacing w:before="0" w:after="0"/>
      </w:pPr>
    </w:p>
    <w:p>
      <w:r>
        <w:t xml:space="preserve">Ukupni prihodi (šifra X067), koji obuhvaćaju prihode poslovanja i prihode od prodaje nefinancijske imovine, u izvještajnom razdoblju ostvareni su u iznosu od 4.489.295,04 eura, što predstavlja 130,9 % u odnosu na prethodnu godinu, kada su iznosili 3.429.277,23 eura.</w:t>
      </w:r>
    </w:p>
    <w:p>
      <w:r>
        <w:t xml:space="preserve">Povećanje ukupnih prihoda rezultat je rasta prihoda poslovanja, osobito prihoda od pomoći iz drugih proračuna te povećanih prihoda po pojedinim vlastitim izvorima, dok su prihodi od prodaje nefinancijske imovine ostvareni u manjem, ali stabilnom obujmu.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3.429.277,25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5.165.841,22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w:t>
            </w:r>
          </w:p>
        </w:tc>
      </w:tr>
    </w:tbl>
    <w:p>
      <w:pPr>
        <w:spacing w:before="0" w:after="0"/>
      </w:pPr>
    </w:p>
    <w:p>
      <w:r>
        <w:t xml:space="preserve">Bilješka uz stavku Y034 – Ukupni rashodi (u eurima)</w:t>
      </w:r>
      <w:r>
        <w:br/>
      </w:r>
      <w:r>
        <w:t xml:space="preserve">Ukupni rashodi (šifre Z005+4) u izvještajnom razdoblju iznose 5.165.841,22 EUR, dok su u prethodnom razdoblju iznosili 3.429.277,25 EUR, što predstavlja povećanje od 1.736.563,97 EUR, odnosno 50,6 % (indeks 150,6).</w:t>
      </w:r>
    </w:p>
    <w:p>
      <w:r>
        <w:t xml:space="preserve">Značajno povećanje ukupnih rashoda rezultat je rasta rashoda poslovanja te osobito povećanih rashoda za nabavu proizvedene dugotrajne imovine, koji se odnose na kapitalna ulaganja u cestovnu infrastrukturu, energetsku obnovu zgrade Općine Gračac te nabavu opreme i službenog vozila u izvještajnom razdoblju.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719.546,18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Bilješka uz stavku Y004 – Ukupan manjak prihoda (u eurima)</w:t>
      </w:r>
      <w:r>
        <w:br/>
      </w:r>
      <w:r>
        <w:t xml:space="preserve">Ukupan manjak prihoda (šifra Y004), kao razlika između ukupnih rashoda (Y034) i ukupnih prihoda (X067), u izvještajnom razdoblju iznosi 676.546,18 EUR, dok je u prethodnom razdoblju bio zanemariv (0,02 EUR).</w:t>
      </w:r>
    </w:p>
    <w:p>
      <w:r>
        <w:t xml:space="preserve">Iskazani manjak rezultat je značajnih kapitalnih ulaganja u izvještajnom razdoblju, osobito u izgradnju i rekonstrukciju cesta, energetsku obnovu zgrade Općine Gračac te nabavu dugotrajne imovine, pri čemu su rashodi premašili ostvarene prihode. Manjak će se pokriti iz prenesenog viška prihoda iz prethodnih godina.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6.472.798,03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6.782.507,82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Ukupna imovina (šifre B002+1) na kraju izvještajnog razdoblja iznosi 6.782.507,82 EUR, dok je na kraju prethodnog razdoblja iznosila 6.472.798,03 EUR, što predstavlja povećanje od 309.709,79 EUR, odnosno 4,8 % (indeks 104,8).</w:t>
      </w:r>
    </w:p>
    <w:p>
      <w:r>
        <w:t xml:space="preserve">Povećanje ukupne imovine rezultat je realiziranih ulaganja u dugotrajnu imovinu tijekom izvještajnog razdoblja, osobito u cestovnu infrastrukturu, energetsku obnovu zgrade Općine Gračac te nabavu opreme i službenog vozila.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1.526.131,48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2.292.939,72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w:t>
            </w:r>
          </w:p>
        </w:tc>
      </w:tr>
    </w:tbl>
    <w:p>
      <w:pPr>
        <w:spacing w:before="0" w:after="0"/>
      </w:pPr>
    </w:p>
    <w:p>
      <w:r>
        <w:t xml:space="preserve">Bilješka uz stavku 0213 – Ceste, željeznice i ostali prometni objekti (u eurima)</w:t>
      </w:r>
      <w:r>
        <w:br/>
      </w:r>
      <w:r>
        <w:t xml:space="preserve">Vrijednost imovine evidentirane na stavci 0213 – Ceste, željeznice i ostali prometni objekti na kraju izvještajnog razdoblja iznosi 2.292.939,72 EUR, dok je u prethodnom razdoblju iznosila 1.526.131,48 EUR, što predstavlja povećanje od 766.808,24 EUR, odnosno 50,2 % (indeks 150,2).</w:t>
      </w:r>
    </w:p>
    <w:p>
      <w:r>
        <w:t xml:space="preserve">Povećanje vrijednosti imovine rezultat je ulaganja u izgradnju i rekonstrukciju cestovne infrastrukture tijekom izvještajnog razdoblja.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69.432,83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95.320,17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r>
        <w:t xml:space="preserve">Bilješka uz stavku 0231 – Prijevozna sredstva u cestovnom prometu (u eurima)</w:t>
      </w:r>
      <w:r>
        <w:br/>
      </w:r>
      <w:r>
        <w:t xml:space="preserve">Vrijednost imovine evidentirane na stavci 0231 – Prijevozna sredstva u cestovnom prometu na kraju izvještajnog razdoblja iznosi 95.320,17 EUR, dok je u prethodnom razdoblju iznosila 69.432,83 EUR, što predstavlja povećanje od 25.887,34 EUR, odnosno 37,3 % (indeks 137,3).</w:t>
      </w:r>
    </w:p>
    <w:p>
      <w:r>
        <w:t xml:space="preserve">Povećanje vrijednosti imovine rezultat je nabave službenog vozila u izvještajnom razdoblju.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67.644,69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114.980,61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w:t>
            </w:r>
          </w:p>
        </w:tc>
      </w:tr>
    </w:tbl>
    <w:p>
      <w:pPr>
        <w:spacing w:before="0" w:after="0"/>
      </w:pPr>
    </w:p>
    <w:p>
      <w:r>
        <w:t xml:space="preserve">Bilješka uz stavke 026 i 02926 – Nematerijalna proizvedena imovina (u eurima)</w:t>
      </w:r>
      <w:r>
        <w:br/>
      </w:r>
      <w:r>
        <w:t xml:space="preserve">Vrijednost nematerijalne proizvedene imovine (šifre 0261–0264 umanjeno za 02926) na kraju izvještajnog razdoblja iznosi 114.980,61 EUR, dok je u prethodnom razdoblju iznosila 67.644,69 EUR, što predstavlja povećanje od 47.335,92 EUR, odnosno 70,0 % (indeks 170,0).</w:t>
      </w:r>
    </w:p>
    <w:p>
      <w:r>
        <w:t xml:space="preserve">Povećanje vrijednosti nematerijalne proizvedene imovine rezultat je ulaganja u projektno-tehničku dokumentaciju i ostale oblike nematerijalne imovine u izvještajnom razdoblju.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972.681,64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622.162,18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w:t>
            </w:r>
          </w:p>
        </w:tc>
      </w:tr>
    </w:tbl>
    <w:p>
      <w:pPr>
        <w:spacing w:before="0" w:after="0"/>
      </w:pPr>
    </w:p>
    <w:p>
      <w:r>
        <w:t xml:space="preserve">Bilješka uz stavku 1 – Financijska imovina (u eurima)</w:t>
      </w:r>
      <w:r>
        <w:br/>
      </w:r>
      <w:r>
        <w:t xml:space="preserve">Financijska imovina (šifre 11+12+13+14+15+16+17+19) na kraju izvještajnog razdoblja iznosi 622.162,18 EUR, dok je u prethodnom razdoblju iznosila 972.681,64 EUR, što predstavlja smanjenje od 350.519,46 EUR, odnosno 36,0 % (indeks 64,0).</w:t>
      </w:r>
    </w:p>
    <w:p>
      <w:r>
        <w:t xml:space="preserve">Smanjenje financijske imovine rezultat je korištenja novčanih sredstava za financiranje kapitalnih ulaganja i podmirenje obveza u izvještajnom razdoblju.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6.472.798,03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6.782.507,82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Bilješka uz stavku B003 – Obveze i vlastiti izvori (u eurima)</w:t>
      </w:r>
      <w:r>
        <w:br/>
      </w:r>
      <w:r>
        <w:t xml:space="preserve">Ukupne obveze i vlastiti izvori (šifre 2+9) na kraju izvještajnog razdoblja iznose 6.782.507,82 EUR, dok su na kraju prethodnog razdoblja iznosili 6.472.798,03 EUR, što predstavlja povećanje od 309.709,79 EUR, odnosno 4,8 % (indeks 104,8).</w:t>
      </w:r>
    </w:p>
    <w:p>
      <w:r>
        <w:t xml:space="preserve">Povećanje je rezultat promjena u strukturi imovine, odnosno povećanja vrijednosti dugotrajne imovine uslijed realiziranih kapitalnih ulaganja tijekom izvještajnog razdoblja, uz istodobno smanjenje financijske imovine.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131.423,65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683,7</w:t>
            </w:r>
          </w:p>
        </w:tc>
      </w:tr>
    </w:tbl>
    <w:p>
      <w:pPr>
        <w:spacing w:before="0" w:after="0"/>
      </w:pPr>
    </w:p>
    <w:p>
      <w:r>
        <w:br/>
      </w:r>
      <w:r>
        <w:t xml:space="preserve">Obveze za zaposlene na kraju izvještajnog razdoblja iznose 131.423,65 EUR, dok su u prethodnom razdoblju iznosile 19.222,29 EUR, što predstavlja povećanje od 112.201,36 EUR, odnosno 583,7 % (indeks 683,7).</w:t>
      </w:r>
    </w:p>
    <w:p>
      <w:r>
        <w:t xml:space="preserve">Povećanje obveza rezultat je promjene u načinu evidentiranja rashoda uslijed uvođenja sustava lokalne riznice. Plaća za mjesec prosinac, koja se prema ranijem načinu knjiženja evidentirala u siječnju sljedeće godine, u izvještajnom razdoblju knjižena je u prosincu, čime su na kraju godine iskazane obveze za zaposlene.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34.261,27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105.687,17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308,5</w:t>
            </w:r>
          </w:p>
        </w:tc>
      </w:tr>
    </w:tbl>
    <w:p>
      <w:pPr>
        <w:spacing w:before="0" w:after="0"/>
      </w:pPr>
    </w:p>
    <w:p>
      <w:r>
        <w:t xml:space="preserve">Obveze za materijalne rashode na kraju izvještajnog razdoblja iznose 105.687,17 EUR, dok su u prethodnom razdoblju iznosile 34.261,27 EUR, što predstavlja povećanje od 71.425,90 EUR, odnosno 208,5 % (indeks 308,5).</w:t>
      </w:r>
    </w:p>
    <w:p>
      <w:r>
        <w:t xml:space="preserve">Povećanje obveza također je rezultat promjene u načinu evidentiranja poslovnih događaja uslijed uvođenja sustava lokalne riznice. Rashodi za mjesec prosinac, koji su se prema ranijem načinu knjiženja evidentirali u siječnju sljedeće godine, u izvještajnom razdoblju evidentirani su u prosincu, zbog čega su na kraju godine iskazane obveze za materijalne rashode.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154.847,28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1. siječnja izvještajne godine iznosi 154.847,28 EUR i odgovara stanju obveza iskazanom u Izvještaju o obvezama na dan 31. prosinca prethodne godine.</w:t>
      </w:r>
    </w:p>
    <w:p>
      <w:r>
        <w:t xml:space="preserve">Navedeni iznos predstavlja početno stanje obveza preneseno u tekuću godinu te čini osnovu za evidentiranje promjena obveza tijekom izvještajnog razdoblja.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6.538.656,57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Navedeno povećanje odnosi se na preuzete obveze tijekom godine po osnovi rashoda poslovanja, nabave nefinancijske imovine te ostalih obveza evidentiranih u skladu s propisanim proračunskim računovodstvom. Povećanje obveza rezultat je redovnog poslovanja i realizacije planiranih programa i projekata u izvještajnom razdoblju.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276.380,74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Bilješka uz stavku V006 – Stanje obveza na kraju izvještajnog razdoblja (u eurima)</w:t>
      </w:r>
      <w:r>
        <w:br/>
      </w:r>
      <w:r>
        <w:t xml:space="preserve">Stanje obveza na kraju izvještajnog razdoblja (šifre V001+V002−V004), odnosno (šifre V007+V009), iznosi 276.380,74 EUR.</w:t>
      </w:r>
    </w:p>
    <w:p>
      <w:r>
        <w:t xml:space="preserve">Navedeni iznos obuhvaća ukupne obveze evidentirane na dan 31. prosinca izvještajne godine, uključujući dospjele i nedospjele obveze, a odnosi se na obveze nastale redovnim poslovanjem i realizacijom planiranih aktivnosti tijekom godine.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Bilješka uz stavku V007 – Stanje dospjelih obveza na kraju izvještajnog razdoblja (u eurima)</w:t>
      </w:r>
      <w:r>
        <w:br/>
      </w:r>
      <w:r>
        <w:t xml:space="preserve">Stanje dospjelih obveza na kraju izvještajnog razdoblja (šifre V008+D23+D24+„D dio 25,26“+D27) iznosi 7.691,46 EUR.</w:t>
      </w:r>
    </w:p>
    <w:p>
      <w:r>
        <w:t xml:space="preserve">Navedene dospjele obveze podmirene su nakon isteka izvještajnog razdoblja, te ne predstavljaju dugotrajna kašnjenja u plaćanju, već obveze dospjele krajem godine koje su plaćene početkom sljedećeg razdoblja.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268.689,28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(šifre V010 + ND23 + ND24 + „ND dio 25,26“ + ND27) iznosi 268.689,28 EUR.</w:t>
      </w:r>
    </w:p>
    <w:p>
      <w:r>
        <w:t xml:space="preserve">Navedeni iznos odnosi se na obveze koje na dan 31. prosinca izvještajne godine nisu dospjele na naplatu, a proizlaze iz redovnog poslovanja i realizacije ugovorenih obveza. Obveze će biti podmirene u rokovima dospijeća tijekom sljedećeg obračunskog razdoblja.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a636e5e3ffa4275" /></Relationships>
</file>