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74" w:rsidRDefault="00D60428" w:rsidP="009B5574">
      <w:pPr>
        <w:jc w:val="both"/>
        <w:rPr>
          <w:b/>
          <w:sz w:val="20"/>
          <w:szCs w:val="20"/>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22860</wp:posOffset>
            </wp:positionH>
            <wp:positionV relativeFrom="paragraph">
              <wp:posOffset>-345440</wp:posOffset>
            </wp:positionV>
            <wp:extent cx="393700" cy="419100"/>
            <wp:effectExtent l="0" t="0" r="6350" b="0"/>
            <wp:wrapTopAndBottom/>
            <wp:docPr id="24" name="Slika 24"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h_grb03"/>
                    <pic:cNvPicPr>
                      <a:picLocks noChangeAspect="1" noChangeArrowheads="1"/>
                    </pic:cNvPicPr>
                  </pic:nvPicPr>
                  <pic:blipFill>
                    <a:blip r:embed="rId9" cstate="print">
                      <a:lum contrast="6000"/>
                      <a:grayscl/>
                      <a:extLst>
                        <a:ext uri="{28A0092B-C50C-407E-A947-70E740481C1C}">
                          <a14:useLocalDpi xmlns:a14="http://schemas.microsoft.com/office/drawing/2010/main" val="0"/>
                        </a:ext>
                      </a:extLst>
                    </a:blip>
                    <a:srcRect/>
                    <a:stretch>
                      <a:fillRect/>
                    </a:stretch>
                  </pic:blipFill>
                  <pic:spPr bwMode="auto">
                    <a:xfrm>
                      <a:off x="0" y="0"/>
                      <a:ext cx="393700" cy="419100"/>
                    </a:xfrm>
                    <a:prstGeom prst="rect">
                      <a:avLst/>
                    </a:prstGeom>
                    <a:noFill/>
                  </pic:spPr>
                </pic:pic>
              </a:graphicData>
            </a:graphic>
            <wp14:sizeRelH relativeFrom="page">
              <wp14:pctWidth>0</wp14:pctWidth>
            </wp14:sizeRelH>
            <wp14:sizeRelV relativeFrom="page">
              <wp14:pctHeight>0</wp14:pctHeight>
            </wp14:sizeRelV>
          </wp:anchor>
        </w:drawing>
      </w:r>
      <w:r w:rsidR="009B5574">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540563" w:rsidRDefault="009B5574" w:rsidP="000E788C">
      <w:pPr>
        <w:rPr>
          <w:b/>
        </w:rPr>
      </w:pPr>
      <w:r>
        <w:rPr>
          <w:b/>
        </w:rPr>
        <w:t>Stručno povjerenstvo za provedbu</w:t>
      </w:r>
    </w:p>
    <w:p w:rsidR="009B5574" w:rsidRDefault="009B5574" w:rsidP="000E788C">
      <w:pPr>
        <w:rPr>
          <w:b/>
        </w:rPr>
      </w:pPr>
      <w:r>
        <w:rPr>
          <w:b/>
        </w:rPr>
        <w:t>Postupka jednostavne nabave</w:t>
      </w:r>
    </w:p>
    <w:p w:rsidR="000E788C" w:rsidRPr="00504587" w:rsidRDefault="000E788C" w:rsidP="000E788C">
      <w:pPr>
        <w:rPr>
          <w:b/>
        </w:rPr>
      </w:pPr>
      <w:r w:rsidRPr="00504587">
        <w:rPr>
          <w:b/>
        </w:rPr>
        <w:t xml:space="preserve">KLASA: </w:t>
      </w:r>
      <w:r w:rsidR="00630F2D">
        <w:rPr>
          <w:b/>
        </w:rPr>
        <w:t>UP/I-406</w:t>
      </w:r>
      <w:r>
        <w:rPr>
          <w:b/>
        </w:rPr>
        <w:t>-0</w:t>
      </w:r>
      <w:r w:rsidR="00630F2D">
        <w:rPr>
          <w:b/>
        </w:rPr>
        <w:t>1</w:t>
      </w:r>
      <w:r w:rsidRPr="00504587">
        <w:rPr>
          <w:b/>
        </w:rPr>
        <w:t>/1</w:t>
      </w:r>
      <w:r w:rsidR="00630F2D">
        <w:rPr>
          <w:b/>
        </w:rPr>
        <w:t>7-01/</w:t>
      </w:r>
      <w:r w:rsidR="00EE4F7B">
        <w:rPr>
          <w:b/>
        </w:rPr>
        <w:t>2</w:t>
      </w:r>
    </w:p>
    <w:p w:rsidR="000E788C" w:rsidRDefault="000E788C" w:rsidP="000E788C">
      <w:pPr>
        <w:rPr>
          <w:b/>
        </w:rPr>
      </w:pPr>
      <w:r>
        <w:rPr>
          <w:b/>
        </w:rPr>
        <w:t>UR.BROJ: 2198/31-01-1</w:t>
      </w:r>
      <w:r w:rsidR="00630F2D">
        <w:rPr>
          <w:b/>
        </w:rPr>
        <w:t>7</w:t>
      </w:r>
      <w:r>
        <w:rPr>
          <w:b/>
        </w:rPr>
        <w:t>-</w:t>
      </w:r>
      <w:r w:rsidR="00630F2D">
        <w:rPr>
          <w:b/>
        </w:rPr>
        <w:t>2</w:t>
      </w:r>
    </w:p>
    <w:p w:rsidR="000E788C" w:rsidRPr="00504587" w:rsidRDefault="000E788C" w:rsidP="000E788C">
      <w:pPr>
        <w:rPr>
          <w:b/>
        </w:rPr>
      </w:pPr>
      <w:r>
        <w:rPr>
          <w:b/>
        </w:rPr>
        <w:t xml:space="preserve">Gračac, </w:t>
      </w:r>
      <w:r w:rsidR="00E054DE">
        <w:rPr>
          <w:b/>
        </w:rPr>
        <w:t>20</w:t>
      </w:r>
      <w:r>
        <w:rPr>
          <w:b/>
        </w:rPr>
        <w:t xml:space="preserve">. </w:t>
      </w:r>
      <w:r w:rsidR="00630F2D">
        <w:rPr>
          <w:b/>
        </w:rPr>
        <w:t>srpnja</w:t>
      </w:r>
      <w:r>
        <w:rPr>
          <w:b/>
        </w:rPr>
        <w:t xml:space="preserve"> 201</w:t>
      </w:r>
      <w:r w:rsidR="00630F2D">
        <w:rPr>
          <w:b/>
        </w:rPr>
        <w:t>7</w:t>
      </w:r>
      <w:r>
        <w:rPr>
          <w:b/>
        </w:rPr>
        <w:t>. godine</w:t>
      </w:r>
    </w:p>
    <w:p w:rsidR="000E788C" w:rsidRDefault="000E788C" w:rsidP="000E788C"/>
    <w:p w:rsidR="000E788C" w:rsidRPr="00504587" w:rsidRDefault="000E788C" w:rsidP="002A2766">
      <w:pPr>
        <w:jc w:val="both"/>
      </w:pPr>
      <w:r w:rsidRPr="00504587">
        <w:t>Na temelju članka 1</w:t>
      </w:r>
      <w:r w:rsidR="00630F2D">
        <w:t>5</w:t>
      </w:r>
      <w:r w:rsidRPr="00504587">
        <w:t>. stav</w:t>
      </w:r>
      <w:r w:rsidR="00630F2D">
        <w:t>ka</w:t>
      </w:r>
      <w:r w:rsidRPr="00504587">
        <w:t xml:space="preserve"> </w:t>
      </w:r>
      <w:r w:rsidR="00630F2D">
        <w:t>2</w:t>
      </w:r>
      <w:r w:rsidRPr="00504587">
        <w:t>. Zakona o javnoj nabavi («Narodne novine»</w:t>
      </w:r>
      <w:r w:rsidR="00630F2D">
        <w:t xml:space="preserve"> broj 120/16) i </w:t>
      </w:r>
      <w:r w:rsidRPr="00504587">
        <w:t xml:space="preserve"> Pravilnika o </w:t>
      </w:r>
      <w:r w:rsidR="00630F2D">
        <w:t>provedbi postupaka jednostavne nabave</w:t>
      </w:r>
      <w:r w:rsidRPr="00504587">
        <w:t xml:space="preserve"> </w:t>
      </w:r>
      <w:r w:rsidR="00517626" w:rsidRPr="00D14154">
        <w:t>(„Službene mrežne stranice Općine Gračac“ objava 27.06.2017.</w:t>
      </w:r>
      <w:r w:rsidRPr="00504587">
        <w:t xml:space="preserve">), Plana nabave Općine Gračac </w:t>
      </w:r>
      <w:r w:rsidR="00EA1F2E">
        <w:t>za 201</w:t>
      </w:r>
      <w:r w:rsidR="00630F2D">
        <w:t>7</w:t>
      </w:r>
      <w:r w:rsidR="00EA1F2E">
        <w:t xml:space="preserve">. </w:t>
      </w:r>
      <w:r w:rsidR="00A727BC">
        <w:t>g</w:t>
      </w:r>
      <w:r w:rsidR="00EA1F2E">
        <w:t>odinu</w:t>
      </w:r>
      <w:r w:rsidR="00517626">
        <w:t xml:space="preserve"> </w:t>
      </w:r>
      <w:r w:rsidR="00517626" w:rsidRPr="00D14154">
        <w:t xml:space="preserve">(„Službene mrežne stranice Općine Gračac“ objava </w:t>
      </w:r>
      <w:r w:rsidR="00517626">
        <w:t>18</w:t>
      </w:r>
      <w:r w:rsidR="00517626" w:rsidRPr="00D14154">
        <w:t>.0</w:t>
      </w:r>
      <w:r w:rsidR="00517626">
        <w:t>7</w:t>
      </w:r>
      <w:r w:rsidR="00517626" w:rsidRPr="00D14154">
        <w:t>.2017.</w:t>
      </w:r>
      <w:r w:rsidR="003E17B0">
        <w:t>)</w:t>
      </w:r>
      <w:r w:rsidRPr="00504587">
        <w:t xml:space="preserve"> i Odluke o </w:t>
      </w:r>
      <w:r w:rsidR="00630F2D">
        <w:t>osnivanju povjerenstva</w:t>
      </w:r>
      <w:r w:rsidRPr="00504587">
        <w:t xml:space="preserve">, KLASA: </w:t>
      </w:r>
      <w:r w:rsidR="00517626">
        <w:t>UP/I-406-01/17-01/2</w:t>
      </w:r>
      <w:r w:rsidRPr="00504587">
        <w:t>, UR.BROJ: 2198/31-01-1</w:t>
      </w:r>
      <w:r w:rsidR="00517626">
        <w:t>7</w:t>
      </w:r>
      <w:r w:rsidRPr="00504587">
        <w:t>-</w:t>
      </w:r>
      <w:r w:rsidR="00517626">
        <w:t>1</w:t>
      </w:r>
      <w:r w:rsidRPr="00504587">
        <w:t xml:space="preserve"> od </w:t>
      </w:r>
      <w:r w:rsidR="00BE6259">
        <w:t>1</w:t>
      </w:r>
      <w:r w:rsidR="00517626">
        <w:t>9</w:t>
      </w:r>
      <w:r w:rsidR="00BE6259">
        <w:t xml:space="preserve">. </w:t>
      </w:r>
      <w:r w:rsidR="00517626">
        <w:t>srpnja</w:t>
      </w:r>
      <w:r w:rsidRPr="00504587">
        <w:t xml:space="preserve"> 201</w:t>
      </w:r>
      <w:r w:rsidR="00517626">
        <w:t>7</w:t>
      </w:r>
      <w:r w:rsidRPr="00504587">
        <w:t xml:space="preserve">. </w:t>
      </w:r>
      <w:r>
        <w:t>g</w:t>
      </w:r>
      <w:r w:rsidRPr="00504587">
        <w:t>odine, Općina Gračac objavljuje</w:t>
      </w: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517626" w:rsidP="000E788C">
      <w:pPr>
        <w:jc w:val="center"/>
      </w:pPr>
      <w:r>
        <w:t>„</w:t>
      </w:r>
      <w:r w:rsidRPr="00517626">
        <w:t xml:space="preserve">Radovi rekonstrukcije prometnice, </w:t>
      </w:r>
    </w:p>
    <w:p w:rsidR="00517626" w:rsidRPr="00517626" w:rsidRDefault="00517626" w:rsidP="000E788C">
      <w:pPr>
        <w:jc w:val="center"/>
      </w:pPr>
      <w:r w:rsidRPr="00517626">
        <w:t>prometne signalizacije i šetališta Školske ulice u naselju Gračac</w:t>
      </w:r>
      <w:r>
        <w:t>“</w:t>
      </w:r>
    </w:p>
    <w:p w:rsidR="000E788C" w:rsidRDefault="000E788C" w:rsidP="000E788C">
      <w:pPr>
        <w:jc w:val="both"/>
        <w:rPr>
          <w:b/>
        </w:rPr>
      </w:pPr>
    </w:p>
    <w:p w:rsidR="00517626"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sidRPr="00517626">
        <w:rPr>
          <w:rFonts w:ascii="Times New Roman" w:hAnsi="Times New Roman"/>
        </w:rPr>
        <w:t xml:space="preserve">Predmet </w:t>
      </w:r>
      <w:r w:rsidR="000562C4">
        <w:rPr>
          <w:rFonts w:ascii="Times New Roman" w:hAnsi="Times New Roman"/>
        </w:rPr>
        <w:t>jednostavne nabave</w:t>
      </w:r>
      <w:r w:rsidR="00517626">
        <w:rPr>
          <w:rFonts w:ascii="Times New Roman" w:hAnsi="Times New Roman"/>
        </w:rPr>
        <w:t>: Radovi rekonstrukcije prometnice, prometne signalizacije i šetališta Školske ulice u naselju Gračac.</w:t>
      </w:r>
      <w:r w:rsidR="000E788C" w:rsidRPr="00517626">
        <w:rPr>
          <w:rFonts w:ascii="Times New Roman" w:hAnsi="Times New Roman"/>
        </w:rPr>
        <w:t xml:space="preserve"> </w:t>
      </w:r>
      <w:r w:rsidR="0081072F" w:rsidRPr="00517626">
        <w:rPr>
          <w:rFonts w:ascii="Times New Roman" w:hAnsi="Times New Roman"/>
        </w:rPr>
        <w:t xml:space="preserve"> </w:t>
      </w:r>
    </w:p>
    <w:p w:rsidR="000E788C"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517626">
        <w:rPr>
          <w:rFonts w:ascii="Times New Roman" w:hAnsi="Times New Roman"/>
        </w:rPr>
        <w:t>Procijenjena</w:t>
      </w:r>
      <w:r w:rsidR="003E17B0">
        <w:rPr>
          <w:rFonts w:ascii="Times New Roman" w:hAnsi="Times New Roman"/>
        </w:rPr>
        <w:t xml:space="preserve"> v</w:t>
      </w:r>
      <w:r w:rsidR="00517626">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javne nabave Općine </w:t>
      </w:r>
      <w:r w:rsidR="004D6BC5" w:rsidRPr="00517626">
        <w:rPr>
          <w:rFonts w:ascii="Times New Roman" w:hAnsi="Times New Roman"/>
        </w:rPr>
        <w:t>Gračac za 201</w:t>
      </w:r>
      <w:r w:rsidR="00517626">
        <w:rPr>
          <w:rFonts w:ascii="Times New Roman" w:hAnsi="Times New Roman"/>
        </w:rPr>
        <w:t>7</w:t>
      </w:r>
      <w:r w:rsidR="004D6BC5" w:rsidRPr="00517626">
        <w:rPr>
          <w:rFonts w:ascii="Times New Roman" w:hAnsi="Times New Roman"/>
        </w:rPr>
        <w:t xml:space="preserve">. godinu i iznosi </w:t>
      </w:r>
      <w:r w:rsidR="00517626">
        <w:rPr>
          <w:rFonts w:ascii="Times New Roman" w:hAnsi="Times New Roman"/>
        </w:rPr>
        <w:t>120.000,00</w:t>
      </w:r>
      <w:r w:rsidR="000E788C" w:rsidRPr="00517626">
        <w:rPr>
          <w:rFonts w:ascii="Times New Roman" w:hAnsi="Times New Roman"/>
        </w:rPr>
        <w:t xml:space="preserve"> kn bez PDV-a.</w:t>
      </w:r>
    </w:p>
    <w:p w:rsidR="003E17B0" w:rsidRPr="00517626"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3E17B0">
        <w:rPr>
          <w:rFonts w:ascii="Times New Roman" w:hAnsi="Times New Roman"/>
        </w:rPr>
        <w:t>Izvor osiguranih sredstava: vlastita sredstva iz</w:t>
      </w:r>
      <w:r w:rsidR="003E17B0" w:rsidRPr="00517626">
        <w:rPr>
          <w:rFonts w:ascii="Times New Roman" w:hAnsi="Times New Roman"/>
        </w:rPr>
        <w:t xml:space="preserve"> Proračun</w:t>
      </w:r>
      <w:r w:rsidR="003E17B0">
        <w:rPr>
          <w:rFonts w:ascii="Times New Roman" w:hAnsi="Times New Roman"/>
        </w:rPr>
        <w:t>a</w:t>
      </w:r>
      <w:r w:rsidR="003E17B0" w:rsidRPr="00517626">
        <w:rPr>
          <w:rFonts w:ascii="Times New Roman" w:hAnsi="Times New Roman"/>
        </w:rPr>
        <w:t xml:space="preserve"> Općine Gračac za 201</w:t>
      </w:r>
      <w:r w:rsidR="003E17B0">
        <w:rPr>
          <w:rFonts w:ascii="Times New Roman" w:hAnsi="Times New Roman"/>
        </w:rPr>
        <w:t>7</w:t>
      </w:r>
      <w:r w:rsidR="003E17B0" w:rsidRPr="00517626">
        <w:rPr>
          <w:rFonts w:ascii="Times New Roman" w:hAnsi="Times New Roman"/>
        </w:rPr>
        <w:t xml:space="preserve">. </w:t>
      </w:r>
      <w:r w:rsidR="003E17B0">
        <w:rPr>
          <w:rFonts w:ascii="Times New Roman" w:hAnsi="Times New Roman"/>
        </w:rPr>
        <w:t>g</w:t>
      </w:r>
      <w:r w:rsidR="003E17B0" w:rsidRPr="00517626">
        <w:rPr>
          <w:rFonts w:ascii="Times New Roman" w:hAnsi="Times New Roman"/>
        </w:rPr>
        <w:t>odinu</w:t>
      </w:r>
      <w:r w:rsidR="003E17B0">
        <w:rPr>
          <w:rFonts w:ascii="Times New Roman" w:hAnsi="Times New Roman"/>
        </w:rPr>
        <w:t xml:space="preserve"> i iznose 150.000,00 kuna s PDV-om.</w:t>
      </w:r>
    </w:p>
    <w:p w:rsidR="000E788C"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Pr>
          <w:rFonts w:ascii="Times New Roman" w:hAnsi="Times New Roman"/>
        </w:rPr>
        <w:t xml:space="preserve">Pravo </w:t>
      </w:r>
      <w:r w:rsidR="000562C4">
        <w:rPr>
          <w:rFonts w:ascii="Times New Roman" w:hAnsi="Times New Roman"/>
        </w:rPr>
        <w:t>nadmetanja</w:t>
      </w:r>
      <w:r w:rsidR="000E788C">
        <w:rPr>
          <w:rFonts w:ascii="Times New Roman" w:hAnsi="Times New Roman"/>
        </w:rPr>
        <w:t xml:space="preserve"> imaju sve pravne i fizičke osobe </w:t>
      </w:r>
      <w:r w:rsidR="003E17B0">
        <w:rPr>
          <w:rFonts w:ascii="Times New Roman" w:hAnsi="Times New Roman"/>
        </w:rPr>
        <w:t>s poslovnim nastanom</w:t>
      </w:r>
      <w:r w:rsidR="000E788C">
        <w:rPr>
          <w:rFonts w:ascii="Times New Roman" w:hAnsi="Times New Roman"/>
        </w:rPr>
        <w:t xml:space="preserve"> u Republici Hrvatskoj </w:t>
      </w:r>
      <w:r w:rsidR="003E17B0">
        <w:rPr>
          <w:rFonts w:ascii="Times New Roman" w:hAnsi="Times New Roman"/>
        </w:rPr>
        <w:t xml:space="preserve"> ili poslovnim nastanom izvan Republike Hrvatske koja su registrirana </w:t>
      </w:r>
      <w:r w:rsidR="000E788C">
        <w:rPr>
          <w:rFonts w:ascii="Times New Roman" w:hAnsi="Times New Roman"/>
        </w:rPr>
        <w:t xml:space="preserve">za obavljanje djelatnosti koja je predmet </w:t>
      </w:r>
      <w:r w:rsidR="00DA6FC9">
        <w:rPr>
          <w:rFonts w:ascii="Times New Roman" w:hAnsi="Times New Roman"/>
        </w:rPr>
        <w:t>nabave</w:t>
      </w:r>
      <w:r w:rsidR="000E788C">
        <w:rPr>
          <w:rFonts w:ascii="Times New Roman" w:hAnsi="Times New Roman"/>
        </w:rPr>
        <w:t>.</w:t>
      </w:r>
    </w:p>
    <w:p w:rsidR="000E788C" w:rsidRPr="00AC3816"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Pr>
          <w:rFonts w:ascii="Times New Roman" w:hAnsi="Times New Roman"/>
        </w:rPr>
        <w:t xml:space="preserve">Gospodarski subjekti kojima se upućuje poziv za dostavu ponude su: </w:t>
      </w:r>
    </w:p>
    <w:p w:rsidR="000E788C" w:rsidRPr="00AC3816" w:rsidRDefault="000E788C"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 </w:t>
      </w:r>
      <w:r w:rsidR="009012A3">
        <w:rPr>
          <w:rFonts w:ascii="Times New Roman" w:hAnsi="Times New Roman"/>
        </w:rPr>
        <w:t>CESTE ZADARSKE ŽUPANIJE d.o.o., Franka Lisice 77,  23000 Zadar</w:t>
      </w:r>
    </w:p>
    <w:p w:rsidR="000E788C" w:rsidRPr="00AC3816" w:rsidRDefault="000E788C"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 </w:t>
      </w:r>
      <w:r w:rsidR="009012A3">
        <w:rPr>
          <w:rFonts w:ascii="Times New Roman" w:hAnsi="Times New Roman"/>
        </w:rPr>
        <w:t>LAVČEVIĆ ZADAR d.o.o., Novogradiška 10,23000 Zadar</w:t>
      </w:r>
      <w:r w:rsidRPr="00AC3816">
        <w:rPr>
          <w:rFonts w:ascii="Times New Roman" w:hAnsi="Times New Roman"/>
        </w:rPr>
        <w:t xml:space="preserve"> </w:t>
      </w:r>
    </w:p>
    <w:p w:rsidR="000E788C" w:rsidRDefault="00CC4646"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 </w:t>
      </w:r>
      <w:r w:rsidR="009012A3">
        <w:rPr>
          <w:rFonts w:ascii="Times New Roman" w:hAnsi="Times New Roman"/>
        </w:rPr>
        <w:t>CESTE ŠIBENIK d.o.o., Velimira Škorpika 27, 22000 Šibenik</w:t>
      </w:r>
    </w:p>
    <w:p w:rsidR="000E788C" w:rsidRPr="00CC4646" w:rsidRDefault="00CC4646"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 </w:t>
      </w:r>
      <w:r w:rsidR="009012A3" w:rsidRPr="00CC4646">
        <w:rPr>
          <w:rFonts w:ascii="Times New Roman" w:hAnsi="Times New Roman"/>
        </w:rPr>
        <w:t>LIKA CESTE d.o.o., Smiljanska 41, 53000 Gospić</w:t>
      </w:r>
    </w:p>
    <w:p w:rsidR="000E788C" w:rsidRPr="00C444F7" w:rsidRDefault="00CC4646" w:rsidP="000E788C">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 </w:t>
      </w:r>
      <w:r w:rsidR="000E788C">
        <w:rPr>
          <w:rFonts w:ascii="Times New Roman" w:hAnsi="Times New Roman"/>
        </w:rPr>
        <w:t xml:space="preserve">Ponude se dostavljaju poštom preporučeno na adresu: </w:t>
      </w:r>
      <w:r w:rsidR="000E788C" w:rsidRPr="00884279">
        <w:rPr>
          <w:rFonts w:ascii="Times New Roman" w:hAnsi="Times New Roman"/>
          <w:b/>
        </w:rPr>
        <w:t>O</w:t>
      </w:r>
      <w:r>
        <w:rPr>
          <w:rFonts w:ascii="Times New Roman" w:hAnsi="Times New Roman"/>
          <w:b/>
        </w:rPr>
        <w:t xml:space="preserve">PĆINA GRAČAC, Park sv. Jurja 1,  </w:t>
      </w:r>
      <w:r w:rsidR="000E788C" w:rsidRPr="00884279">
        <w:rPr>
          <w:rFonts w:ascii="Times New Roman" w:hAnsi="Times New Roman"/>
          <w:b/>
        </w:rPr>
        <w:t>23 440 Gračac</w:t>
      </w:r>
      <w:r w:rsidR="000E788C">
        <w:rPr>
          <w:rFonts w:ascii="Times New Roman" w:hAnsi="Times New Roman"/>
          <w:b/>
        </w:rPr>
        <w:t xml:space="preserve"> ili osobno na pisarnicu Općine Gračac, svakog radnog dana od </w:t>
      </w:r>
      <w:r w:rsidR="003E17B0">
        <w:rPr>
          <w:rFonts w:ascii="Times New Roman" w:hAnsi="Times New Roman"/>
          <w:b/>
        </w:rPr>
        <w:t>7</w:t>
      </w:r>
      <w:r w:rsidR="000E788C">
        <w:rPr>
          <w:rFonts w:ascii="Times New Roman" w:hAnsi="Times New Roman"/>
          <w:b/>
        </w:rPr>
        <w:t>-1</w:t>
      </w:r>
      <w:r w:rsidR="003E17B0">
        <w:rPr>
          <w:rFonts w:ascii="Times New Roman" w:hAnsi="Times New Roman"/>
          <w:b/>
        </w:rPr>
        <w:t>5</w:t>
      </w:r>
      <w:r w:rsidR="000E788C">
        <w:rPr>
          <w:rFonts w:ascii="Times New Roman" w:hAnsi="Times New Roman"/>
          <w:b/>
        </w:rPr>
        <w:t xml:space="preserve"> sati. </w:t>
      </w:r>
      <w:r w:rsidR="000E788C" w:rsidRPr="00884279">
        <w:rPr>
          <w:rFonts w:ascii="Times New Roman" w:hAnsi="Times New Roman"/>
        </w:rPr>
        <w:t>Na zapečaćenoj omotnici obavezno naznačiti</w:t>
      </w:r>
      <w:r w:rsidR="000E788C" w:rsidRPr="00844EE4">
        <w:rPr>
          <w:rFonts w:ascii="Times New Roman" w:hAnsi="Times New Roman"/>
        </w:rPr>
        <w:t xml:space="preserve">: </w:t>
      </w:r>
      <w:r w:rsidR="000E788C" w:rsidRPr="00844EE4">
        <w:rPr>
          <w:rFonts w:ascii="Times New Roman" w:hAnsi="Times New Roman"/>
          <w:b/>
          <w:u w:val="single"/>
        </w:rPr>
        <w:t>„Ponuda za postupak</w:t>
      </w:r>
      <w:r w:rsidR="00DA6FC9">
        <w:rPr>
          <w:rFonts w:ascii="Times New Roman" w:hAnsi="Times New Roman"/>
          <w:b/>
          <w:u w:val="single"/>
        </w:rPr>
        <w:t xml:space="preserve"> </w:t>
      </w:r>
      <w:r w:rsidR="000E788C" w:rsidRPr="00844EE4">
        <w:rPr>
          <w:rFonts w:ascii="Times New Roman" w:hAnsi="Times New Roman"/>
          <w:b/>
          <w:u w:val="single"/>
        </w:rPr>
        <w:t xml:space="preserve">nabave </w:t>
      </w:r>
      <w:r w:rsidR="00DA6FC9">
        <w:rPr>
          <w:rFonts w:ascii="Times New Roman" w:hAnsi="Times New Roman"/>
          <w:b/>
          <w:u w:val="single"/>
        </w:rPr>
        <w:t>46</w:t>
      </w:r>
      <w:r w:rsidR="000E788C" w:rsidRPr="00844EE4">
        <w:rPr>
          <w:rFonts w:ascii="Times New Roman" w:hAnsi="Times New Roman"/>
          <w:b/>
          <w:u w:val="single"/>
        </w:rPr>
        <w:t>-201</w:t>
      </w:r>
      <w:r w:rsidR="00DA6FC9">
        <w:rPr>
          <w:rFonts w:ascii="Times New Roman" w:hAnsi="Times New Roman"/>
          <w:b/>
          <w:u w:val="single"/>
        </w:rPr>
        <w:t>7</w:t>
      </w:r>
      <w:r w:rsidR="000E788C" w:rsidRPr="00844EE4">
        <w:rPr>
          <w:rFonts w:ascii="Times New Roman" w:hAnsi="Times New Roman"/>
          <w:b/>
          <w:u w:val="single"/>
        </w:rPr>
        <w:t>-EBV</w:t>
      </w:r>
      <w:r w:rsidR="002A2766">
        <w:rPr>
          <w:rFonts w:ascii="Times New Roman" w:hAnsi="Times New Roman"/>
          <w:b/>
          <w:u w:val="single"/>
        </w:rPr>
        <w:t>-</w:t>
      </w:r>
      <w:r w:rsidR="00C444F7" w:rsidRPr="00C444F7">
        <w:rPr>
          <w:rFonts w:ascii="Times New Roman" w:hAnsi="Times New Roman"/>
        </w:rPr>
        <w:t xml:space="preserve"> </w:t>
      </w:r>
      <w:r w:rsidR="00C444F7" w:rsidRPr="00C444F7">
        <w:rPr>
          <w:rFonts w:ascii="Times New Roman" w:hAnsi="Times New Roman"/>
          <w:b/>
        </w:rPr>
        <w:t xml:space="preserve">Radovi rekonstrukcije prometnice, prometne signalizacije i šetališta Školske ulice u naselju Gračac.  </w:t>
      </w:r>
      <w:r w:rsidR="000E788C" w:rsidRPr="00C444F7">
        <w:rPr>
          <w:rFonts w:ascii="Times New Roman" w:hAnsi="Times New Roman"/>
          <w:b/>
          <w:u w:val="single"/>
        </w:rPr>
        <w:t xml:space="preserve"> </w:t>
      </w:r>
    </w:p>
    <w:p w:rsidR="000E788C" w:rsidRPr="00C73A64"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Pr>
          <w:rFonts w:ascii="Times New Roman" w:hAnsi="Times New Roman"/>
        </w:rPr>
        <w:t xml:space="preserve">Razmatrat će se samo ponude pristigle </w:t>
      </w:r>
      <w:r w:rsidR="003E17B0">
        <w:rPr>
          <w:rFonts w:ascii="Times New Roman" w:hAnsi="Times New Roman"/>
        </w:rPr>
        <w:t xml:space="preserve">do </w:t>
      </w:r>
      <w:r w:rsidR="000E788C">
        <w:rPr>
          <w:rFonts w:ascii="Times New Roman" w:hAnsi="Times New Roman"/>
        </w:rPr>
        <w:t xml:space="preserve">dana </w:t>
      </w:r>
      <w:r w:rsidR="00DA6FC9" w:rsidRPr="00DA6FC9">
        <w:rPr>
          <w:rFonts w:ascii="Times New Roman" w:hAnsi="Times New Roman"/>
          <w:b/>
          <w:u w:val="single"/>
        </w:rPr>
        <w:t>2</w:t>
      </w:r>
      <w:r w:rsidR="00E054DE">
        <w:rPr>
          <w:rFonts w:ascii="Times New Roman" w:hAnsi="Times New Roman"/>
          <w:b/>
          <w:u w:val="single"/>
        </w:rPr>
        <w:t>8</w:t>
      </w:r>
      <w:r w:rsidR="000E788C" w:rsidRPr="00DA6FC9">
        <w:rPr>
          <w:rFonts w:ascii="Times New Roman" w:hAnsi="Times New Roman"/>
          <w:b/>
          <w:u w:val="single"/>
        </w:rPr>
        <w:t xml:space="preserve">. </w:t>
      </w:r>
      <w:r w:rsidR="00844EE4" w:rsidRPr="00DA6FC9">
        <w:rPr>
          <w:rFonts w:ascii="Times New Roman" w:hAnsi="Times New Roman"/>
          <w:b/>
          <w:u w:val="single"/>
        </w:rPr>
        <w:t xml:space="preserve"> srpnja</w:t>
      </w:r>
      <w:r w:rsidR="00844EE4">
        <w:rPr>
          <w:rFonts w:ascii="Times New Roman" w:hAnsi="Times New Roman"/>
          <w:b/>
          <w:u w:val="single"/>
        </w:rPr>
        <w:t xml:space="preserve"> </w:t>
      </w:r>
      <w:r w:rsidR="000E788C" w:rsidRPr="00844EE4">
        <w:rPr>
          <w:rFonts w:ascii="Times New Roman" w:hAnsi="Times New Roman"/>
          <w:b/>
          <w:u w:val="single"/>
        </w:rPr>
        <w:t>201</w:t>
      </w:r>
      <w:r w:rsidR="00DA6FC9">
        <w:rPr>
          <w:rFonts w:ascii="Times New Roman" w:hAnsi="Times New Roman"/>
          <w:b/>
          <w:u w:val="single"/>
        </w:rPr>
        <w:t>7</w:t>
      </w:r>
      <w:r w:rsidR="000E788C" w:rsidRPr="00C73A64">
        <w:rPr>
          <w:rFonts w:ascii="Times New Roman" w:hAnsi="Times New Roman"/>
          <w:b/>
          <w:u w:val="single"/>
        </w:rPr>
        <w:t xml:space="preserve">. </w:t>
      </w:r>
      <w:r w:rsidR="000E788C">
        <w:rPr>
          <w:rFonts w:ascii="Times New Roman" w:hAnsi="Times New Roman"/>
          <w:b/>
          <w:u w:val="single"/>
        </w:rPr>
        <w:t>g</w:t>
      </w:r>
      <w:r w:rsidR="000E788C" w:rsidRPr="00C73A64">
        <w:rPr>
          <w:rFonts w:ascii="Times New Roman" w:hAnsi="Times New Roman"/>
          <w:b/>
          <w:u w:val="single"/>
        </w:rPr>
        <w:t>odine</w:t>
      </w:r>
      <w:r w:rsidR="003E17B0" w:rsidRPr="003E17B0">
        <w:rPr>
          <w:rFonts w:ascii="Times New Roman" w:hAnsi="Times New Roman"/>
        </w:rPr>
        <w:t xml:space="preserve"> </w:t>
      </w:r>
      <w:r w:rsidR="003E17B0">
        <w:rPr>
          <w:rFonts w:ascii="Times New Roman" w:hAnsi="Times New Roman"/>
        </w:rPr>
        <w:t xml:space="preserve">zaključno do </w:t>
      </w:r>
      <w:r w:rsidR="003E17B0" w:rsidRPr="00C73A64">
        <w:rPr>
          <w:rFonts w:ascii="Times New Roman" w:hAnsi="Times New Roman"/>
          <w:b/>
          <w:u w:val="single"/>
        </w:rPr>
        <w:t>1</w:t>
      </w:r>
      <w:r w:rsidR="003E17B0">
        <w:rPr>
          <w:rFonts w:ascii="Times New Roman" w:hAnsi="Times New Roman"/>
          <w:b/>
          <w:u w:val="single"/>
        </w:rPr>
        <w:t>0</w:t>
      </w:r>
      <w:r w:rsidR="003E17B0" w:rsidRPr="00C73A64">
        <w:rPr>
          <w:rFonts w:ascii="Times New Roman" w:hAnsi="Times New Roman"/>
          <w:b/>
          <w:u w:val="single"/>
        </w:rPr>
        <w:t>,00 sati</w:t>
      </w:r>
      <w:r w:rsidR="000E788C">
        <w:rPr>
          <w:rFonts w:ascii="Times New Roman" w:hAnsi="Times New Roman"/>
          <w:b/>
          <w:u w:val="single"/>
        </w:rPr>
        <w:t>.</w:t>
      </w:r>
    </w:p>
    <w:p w:rsidR="000E788C"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sidRPr="00CC4646">
        <w:rPr>
          <w:rFonts w:ascii="Times New Roman" w:hAnsi="Times New Roman"/>
        </w:rPr>
        <w:t xml:space="preserve">Dokumentacija za nadmetanje koja je sastavni dio ovog Poziva dostupna je na </w:t>
      </w:r>
      <w:r w:rsidR="003E17B0" w:rsidRPr="00CC4646">
        <w:rPr>
          <w:rFonts w:ascii="Times New Roman" w:hAnsi="Times New Roman"/>
        </w:rPr>
        <w:t xml:space="preserve">službenoj  mrežnoj </w:t>
      </w:r>
      <w:r w:rsidR="000E788C" w:rsidRPr="00CC4646">
        <w:rPr>
          <w:rFonts w:ascii="Times New Roman" w:hAnsi="Times New Roman"/>
        </w:rPr>
        <w:t xml:space="preserve">stranici Općine Gračac </w:t>
      </w:r>
      <w:hyperlink r:id="rId10" w:history="1">
        <w:r w:rsidR="000E788C" w:rsidRPr="00CC4646">
          <w:rPr>
            <w:rStyle w:val="Hiperveza"/>
            <w:rFonts w:ascii="Times New Roman" w:hAnsi="Times New Roman"/>
          </w:rPr>
          <w:t>www.gracac.hr</w:t>
        </w:r>
      </w:hyperlink>
      <w:r w:rsidR="003E17B0" w:rsidRPr="00CC4646">
        <w:rPr>
          <w:rFonts w:ascii="Times New Roman" w:hAnsi="Times New Roman"/>
        </w:rPr>
        <w:t xml:space="preserve">, </w:t>
      </w:r>
      <w:r w:rsidR="000E788C">
        <w:rPr>
          <w:rFonts w:ascii="Times New Roman" w:hAnsi="Times New Roman"/>
        </w:rPr>
        <w:t xml:space="preserve"> i u pisarnici Općine Gračac svakog radnog dana ( u razdoblju trajanja </w:t>
      </w:r>
      <w:r w:rsidR="009347E3">
        <w:rPr>
          <w:rFonts w:ascii="Times New Roman" w:hAnsi="Times New Roman"/>
        </w:rPr>
        <w:t>postupka jednostavne nabave</w:t>
      </w:r>
      <w:r w:rsidR="000E788C">
        <w:rPr>
          <w:rFonts w:ascii="Times New Roman" w:hAnsi="Times New Roman"/>
        </w:rPr>
        <w:t>) od 8,00 do 14,00 sati.</w:t>
      </w:r>
    </w:p>
    <w:p w:rsidR="000E788C"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Pr>
          <w:rFonts w:ascii="Times New Roman" w:hAnsi="Times New Roman"/>
        </w:rPr>
        <w:t xml:space="preserve">Kriteriji odabira: </w:t>
      </w:r>
      <w:r w:rsidR="009012A3">
        <w:rPr>
          <w:rFonts w:ascii="Times New Roman" w:hAnsi="Times New Roman"/>
        </w:rPr>
        <w:t>valjana ponuda</w:t>
      </w:r>
      <w:r w:rsidR="00BE6259">
        <w:rPr>
          <w:rFonts w:ascii="Times New Roman" w:hAnsi="Times New Roman"/>
        </w:rPr>
        <w:t xml:space="preserve"> sposobnog ponuditelja</w:t>
      </w:r>
      <w:r w:rsidR="009012A3">
        <w:rPr>
          <w:rFonts w:ascii="Times New Roman" w:hAnsi="Times New Roman"/>
        </w:rPr>
        <w:t xml:space="preserve"> s</w:t>
      </w:r>
      <w:r w:rsidR="00BE6259">
        <w:rPr>
          <w:rFonts w:ascii="Times New Roman" w:hAnsi="Times New Roman"/>
        </w:rPr>
        <w:t xml:space="preserve"> ukupnom</w:t>
      </w:r>
      <w:r w:rsidR="009012A3">
        <w:rPr>
          <w:rFonts w:ascii="Times New Roman" w:hAnsi="Times New Roman"/>
        </w:rPr>
        <w:t xml:space="preserve"> </w:t>
      </w:r>
      <w:r w:rsidR="000E788C">
        <w:rPr>
          <w:rFonts w:ascii="Times New Roman" w:hAnsi="Times New Roman"/>
        </w:rPr>
        <w:t>najniž</w:t>
      </w:r>
      <w:r w:rsidR="009012A3">
        <w:rPr>
          <w:rFonts w:ascii="Times New Roman" w:hAnsi="Times New Roman"/>
        </w:rPr>
        <w:t>om</w:t>
      </w:r>
      <w:r w:rsidR="000E788C">
        <w:rPr>
          <w:rFonts w:ascii="Times New Roman" w:hAnsi="Times New Roman"/>
        </w:rPr>
        <w:t xml:space="preserve"> cijen</w:t>
      </w:r>
      <w:r w:rsidR="009012A3">
        <w:rPr>
          <w:rFonts w:ascii="Times New Roman" w:hAnsi="Times New Roman"/>
        </w:rPr>
        <w:t>om</w:t>
      </w:r>
      <w:r w:rsidR="000E788C">
        <w:rPr>
          <w:rFonts w:ascii="Times New Roman" w:hAnsi="Times New Roman"/>
        </w:rPr>
        <w:t>.</w:t>
      </w:r>
    </w:p>
    <w:p w:rsidR="00EE4F7B"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sidRPr="00EE4F7B">
        <w:rPr>
          <w:rFonts w:ascii="Times New Roman" w:hAnsi="Times New Roman"/>
        </w:rPr>
        <w:t xml:space="preserve">Općina Gračac ne snosi nikakve troškove u svezi sa sudjelovanjem ponuditelja u </w:t>
      </w:r>
      <w:r w:rsidR="00DA6FC9" w:rsidRPr="00EE4F7B">
        <w:rPr>
          <w:rFonts w:ascii="Times New Roman" w:hAnsi="Times New Roman"/>
        </w:rPr>
        <w:t>postupku nabave</w:t>
      </w:r>
      <w:r w:rsidR="00EE4F7B">
        <w:rPr>
          <w:rFonts w:ascii="Times New Roman" w:hAnsi="Times New Roman"/>
        </w:rPr>
        <w:t>.</w:t>
      </w:r>
    </w:p>
    <w:p w:rsidR="000E788C" w:rsidRPr="00EE4F7B" w:rsidRDefault="00CC4646"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 </w:t>
      </w:r>
      <w:r w:rsidR="000E788C" w:rsidRPr="00EE4F7B">
        <w:rPr>
          <w:rFonts w:ascii="Times New Roman" w:hAnsi="Times New Roman"/>
        </w:rPr>
        <w:t xml:space="preserve">Otvaranje ponuda obavit će se dana </w:t>
      </w:r>
      <w:r w:rsidR="00EE4F7B" w:rsidRPr="00EE4F7B">
        <w:rPr>
          <w:rFonts w:ascii="Times New Roman" w:hAnsi="Times New Roman"/>
          <w:b/>
          <w:u w:val="single"/>
        </w:rPr>
        <w:t>2</w:t>
      </w:r>
      <w:r w:rsidR="00E054DE">
        <w:rPr>
          <w:rFonts w:ascii="Times New Roman" w:hAnsi="Times New Roman"/>
          <w:b/>
          <w:u w:val="single"/>
        </w:rPr>
        <w:t>8</w:t>
      </w:r>
      <w:r w:rsidR="000E788C" w:rsidRPr="00EE4F7B">
        <w:rPr>
          <w:rFonts w:ascii="Times New Roman" w:hAnsi="Times New Roman"/>
          <w:b/>
          <w:u w:val="single"/>
        </w:rPr>
        <w:t>.</w:t>
      </w:r>
      <w:r w:rsidR="00F65F2B" w:rsidRPr="00EE4F7B">
        <w:rPr>
          <w:rFonts w:ascii="Times New Roman" w:hAnsi="Times New Roman"/>
          <w:b/>
          <w:u w:val="single"/>
        </w:rPr>
        <w:t xml:space="preserve"> </w:t>
      </w:r>
      <w:r w:rsidR="00844EE4" w:rsidRPr="00EE4F7B">
        <w:rPr>
          <w:rFonts w:ascii="Times New Roman" w:hAnsi="Times New Roman"/>
          <w:b/>
          <w:u w:val="single"/>
        </w:rPr>
        <w:t>srpnja</w:t>
      </w:r>
      <w:r w:rsidR="000E788C" w:rsidRPr="00EE4F7B">
        <w:rPr>
          <w:rFonts w:ascii="Times New Roman" w:hAnsi="Times New Roman"/>
          <w:b/>
          <w:u w:val="single"/>
        </w:rPr>
        <w:t xml:space="preserve"> 201</w:t>
      </w:r>
      <w:r w:rsidR="00EE4F7B">
        <w:rPr>
          <w:rFonts w:ascii="Times New Roman" w:hAnsi="Times New Roman"/>
          <w:b/>
          <w:u w:val="single"/>
        </w:rPr>
        <w:t>7</w:t>
      </w:r>
      <w:r w:rsidR="000E788C" w:rsidRPr="00EE4F7B">
        <w:rPr>
          <w:rFonts w:ascii="Times New Roman" w:hAnsi="Times New Roman"/>
          <w:b/>
          <w:u w:val="single"/>
        </w:rPr>
        <w:t>. godine u 1</w:t>
      </w:r>
      <w:r w:rsidR="00EE4F7B">
        <w:rPr>
          <w:rFonts w:ascii="Times New Roman" w:hAnsi="Times New Roman"/>
          <w:b/>
          <w:u w:val="single"/>
        </w:rPr>
        <w:t>0</w:t>
      </w:r>
      <w:r w:rsidR="000E788C" w:rsidRPr="00EE4F7B">
        <w:rPr>
          <w:rFonts w:ascii="Times New Roman" w:hAnsi="Times New Roman"/>
          <w:b/>
          <w:u w:val="single"/>
        </w:rPr>
        <w:t>,00 sati</w:t>
      </w:r>
      <w:r w:rsidR="000E788C" w:rsidRPr="00EE4F7B">
        <w:rPr>
          <w:rFonts w:ascii="Times New Roman" w:hAnsi="Times New Roman"/>
          <w:u w:val="single"/>
        </w:rPr>
        <w:t xml:space="preserve"> </w:t>
      </w:r>
      <w:r w:rsidR="000E788C" w:rsidRPr="00EE4F7B">
        <w:rPr>
          <w:rFonts w:ascii="Times New Roman" w:hAnsi="Times New Roman"/>
        </w:rPr>
        <w:t xml:space="preserve">u uredu </w:t>
      </w:r>
      <w:r w:rsidR="00EE4F7B">
        <w:rPr>
          <w:rFonts w:ascii="Times New Roman" w:hAnsi="Times New Roman"/>
        </w:rPr>
        <w:t>Predsjednika stručnog povjerenstva za provedbu postupka jednostavne nabave</w:t>
      </w:r>
      <w:r w:rsidR="000E788C" w:rsidRPr="00EE4F7B">
        <w:rPr>
          <w:rFonts w:ascii="Times New Roman" w:hAnsi="Times New Roman"/>
        </w:rPr>
        <w:t>, Park sv. Jurja 1, 23 440 Gračac.</w:t>
      </w:r>
    </w:p>
    <w:p w:rsidR="000E788C" w:rsidRDefault="000E788C" w:rsidP="000E788C">
      <w:pPr>
        <w:ind w:left="5664"/>
        <w:jc w:val="both"/>
      </w:pPr>
      <w:r>
        <w:t>OPĆINA GRAČAC</w:t>
      </w:r>
    </w:p>
    <w:p w:rsidR="008C4AF2" w:rsidRDefault="000E788C" w:rsidP="000E788C">
      <w:pPr>
        <w:jc w:val="both"/>
      </w:pPr>
      <w:r>
        <w:tab/>
      </w:r>
      <w:r>
        <w:tab/>
      </w:r>
      <w:r>
        <w:tab/>
      </w:r>
      <w:r>
        <w:tab/>
      </w:r>
      <w:r>
        <w:tab/>
      </w:r>
      <w:r>
        <w:tab/>
      </w:r>
      <w:r>
        <w:tab/>
      </w:r>
      <w:r w:rsidR="008C4AF2">
        <w:t>Stručno povjerenstvo za provedbu</w:t>
      </w:r>
    </w:p>
    <w:p w:rsidR="000E788C" w:rsidRDefault="008C4AF2" w:rsidP="000E788C">
      <w:pPr>
        <w:jc w:val="both"/>
      </w:pPr>
      <w:r>
        <w:t xml:space="preserve">                                                                                       postupka jednostavne nabave</w:t>
      </w:r>
    </w:p>
    <w:p w:rsidR="000E788C" w:rsidRDefault="000E788C" w:rsidP="000E788C">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D6042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1">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0E788C" w:rsidRDefault="000E788C"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Default="000E788C" w:rsidP="000E788C">
      <w:pPr>
        <w:jc w:val="center"/>
        <w:rPr>
          <w:sz w:val="28"/>
          <w:szCs w:val="28"/>
        </w:rPr>
      </w:pP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D60428" w:rsidP="000E788C">
      <w:pPr>
        <w:jc w:val="center"/>
        <w:rPr>
          <w:sz w:val="28"/>
          <w:szCs w:val="28"/>
        </w:rPr>
      </w:pPr>
      <w:r>
        <w:rPr>
          <w:noProof/>
        </w:rPr>
        <w:drawing>
          <wp:inline distT="0" distB="0" distL="0" distR="0">
            <wp:extent cx="914400" cy="1009650"/>
            <wp:effectExtent l="0" t="0" r="0" b="0"/>
            <wp:docPr id="1"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Pr="00940C05" w:rsidRDefault="000E788C" w:rsidP="000E788C">
      <w:pPr>
        <w:jc w:val="center"/>
        <w:rPr>
          <w:b/>
        </w:rPr>
      </w:pPr>
      <w:r>
        <w:rPr>
          <w:b/>
        </w:rPr>
        <w:t xml:space="preserve">Gračac, </w:t>
      </w:r>
      <w:r w:rsidR="00E054DE">
        <w:rPr>
          <w:b/>
        </w:rPr>
        <w:t>20</w:t>
      </w:r>
      <w:r>
        <w:rPr>
          <w:b/>
        </w:rPr>
        <w:t xml:space="preserve">. </w:t>
      </w:r>
      <w:r w:rsidR="00EE4F7B">
        <w:rPr>
          <w:b/>
        </w:rPr>
        <w:t>srpnja</w:t>
      </w:r>
      <w:r>
        <w:rPr>
          <w:b/>
        </w:rPr>
        <w:t xml:space="preserve"> 201</w:t>
      </w:r>
      <w:r w:rsidR="00EE4F7B">
        <w:rPr>
          <w:b/>
        </w:rPr>
        <w:t>7</w:t>
      </w:r>
      <w:r>
        <w:rPr>
          <w:b/>
        </w:rPr>
        <w:t>. godine</w:t>
      </w:r>
    </w:p>
    <w:p w:rsidR="000E788C" w:rsidRDefault="000E788C" w:rsidP="00540563">
      <w:pPr>
        <w:rPr>
          <w:b/>
          <w:sz w:val="36"/>
          <w:szCs w:val="36"/>
        </w:rPr>
      </w:pPr>
    </w:p>
    <w:p w:rsidR="000E788C" w:rsidRDefault="000E788C" w:rsidP="00622EB5">
      <w:pPr>
        <w:rPr>
          <w:b/>
          <w:bCs/>
          <w:lang w:val="de-DE"/>
        </w:rPr>
      </w:pPr>
    </w:p>
    <w:p w:rsidR="00F6788C" w:rsidRDefault="00F6788C" w:rsidP="00622EB5">
      <w:pPr>
        <w:rPr>
          <w:b/>
          <w:bCs/>
          <w:lang w:val="de-DE"/>
        </w:rPr>
      </w:pPr>
      <w:r>
        <w:rPr>
          <w:b/>
          <w:bCs/>
          <w:lang w:val="de-DE"/>
        </w:rPr>
        <w:t>OPĆINSKI NAČELNIK</w:t>
      </w:r>
    </w:p>
    <w:p w:rsidR="00622EB5" w:rsidRPr="00AC23BC" w:rsidRDefault="00622EB5" w:rsidP="00622EB5">
      <w:r>
        <w:t xml:space="preserve">Klasa: </w:t>
      </w:r>
      <w:r w:rsidR="00EE4F7B">
        <w:t>UP/I-406-01/17-01/2</w:t>
      </w:r>
    </w:p>
    <w:p w:rsidR="00622EB5" w:rsidRDefault="00F6788C" w:rsidP="00622EB5">
      <w:r>
        <w:t>Urbroj: 2198/31-01-1</w:t>
      </w:r>
      <w:r w:rsidR="00EE4F7B">
        <w:t>7</w:t>
      </w:r>
      <w:r>
        <w:t>-</w:t>
      </w:r>
      <w:r w:rsidR="00EE4F7B">
        <w:t>3</w:t>
      </w:r>
    </w:p>
    <w:p w:rsidR="00622EB5" w:rsidRDefault="00F6788C" w:rsidP="00622EB5">
      <w:r>
        <w:t>Gračac</w:t>
      </w:r>
      <w:r w:rsidR="00622EB5">
        <w:t xml:space="preserve">, </w:t>
      </w:r>
      <w:r w:rsidR="00E054DE">
        <w:t>20</w:t>
      </w:r>
      <w:r w:rsidR="00622EB5">
        <w:t xml:space="preserve">. </w:t>
      </w:r>
      <w:r w:rsidR="00EE4F7B">
        <w:t>srpnja</w:t>
      </w:r>
      <w:r w:rsidR="00622EB5">
        <w:t xml:space="preserve"> 201</w:t>
      </w:r>
      <w:r w:rsidR="00EE4F7B">
        <w:t>7</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 xml:space="preserve">e temeljem </w:t>
      </w:r>
      <w:r w:rsidR="00F6788C" w:rsidRPr="00F6788C">
        <w:rPr>
          <w:rFonts w:eastAsia="Calibri,Bold"/>
          <w:sz w:val="22"/>
          <w:szCs w:val="22"/>
        </w:rPr>
        <w:t xml:space="preserve">Pravilnika </w:t>
      </w:r>
      <w:r w:rsidR="00D468B4">
        <w:rPr>
          <w:rFonts w:eastAsia="Calibri,Bold"/>
          <w:sz w:val="22"/>
          <w:szCs w:val="22"/>
        </w:rPr>
        <w:t>o prvedbi postupaka jednostavne nabave</w:t>
      </w:r>
      <w:r w:rsidR="00F6788C" w:rsidRPr="00F6788C">
        <w:rPr>
          <w:rFonts w:eastAsia="Calibri,Bold"/>
          <w:sz w:val="22"/>
          <w:szCs w:val="22"/>
        </w:rPr>
        <w:t xml:space="preserve"> </w:t>
      </w:r>
      <w:r w:rsidR="00D468B4" w:rsidRPr="00D14154">
        <w:t>(„Službene mrežne stranice Općine Gračac“ objava 27.06.2017</w:t>
      </w:r>
      <w:r w:rsidR="00F6788C">
        <w:rPr>
          <w:rFonts w:eastAsia="Calibri,Bold"/>
          <w:sz w:val="22"/>
          <w:szCs w:val="22"/>
        </w:rPr>
        <w:t>)</w:t>
      </w:r>
      <w:r w:rsidR="00622EB5">
        <w:t xml:space="preserve"> 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3" w:history="1">
        <w:r w:rsidR="00F6788C" w:rsidRPr="00707CCE">
          <w:rPr>
            <w:rStyle w:val="Hiperveza"/>
          </w:rPr>
          <w:t>www.gracac.hr</w:t>
        </w:r>
      </w:hyperlink>
    </w:p>
    <w:p w:rsidR="000562C4" w:rsidRDefault="000562C4" w:rsidP="00622EB5">
      <w:pPr>
        <w:ind w:firstLine="720"/>
      </w:pPr>
      <w:r>
        <w:t xml:space="preserve">E-mail: </w:t>
      </w:r>
      <w:hyperlink r:id="rId14"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0562C4">
      <w:pPr>
        <w:rPr>
          <w:b/>
        </w:rPr>
      </w:pPr>
      <w:r>
        <w:t xml:space="preserve">Predmet nabave je: </w:t>
      </w:r>
      <w:r w:rsidR="000562C4" w:rsidRPr="00CC4646">
        <w:rPr>
          <w:b/>
        </w:rPr>
        <w:t>Radovi rekonstrukcije prometnice, prometne signalizacije i šetališta Školske ulice u naselju Gračac.</w:t>
      </w:r>
      <w:r w:rsidR="000562C4" w:rsidRPr="00517626">
        <w:t xml:space="preserve">  </w:t>
      </w:r>
    </w:p>
    <w:p w:rsidR="00622EB5" w:rsidRPr="002363FA" w:rsidRDefault="00622EB5" w:rsidP="00622EB5">
      <w:pPr>
        <w:autoSpaceDE w:val="0"/>
        <w:autoSpaceDN w:val="0"/>
        <w:adjustRightInd w:val="0"/>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622EB5">
      <w:r>
        <w:t xml:space="preserve">Procijenjena vrijednost nabave: </w:t>
      </w:r>
      <w:r w:rsidR="000562C4">
        <w:t>120</w:t>
      </w:r>
      <w:r>
        <w:t>.</w:t>
      </w:r>
      <w:r w:rsidR="007068D6">
        <w:t>000</w:t>
      </w:r>
      <w:r w:rsidR="004D6BC5">
        <w:t>,</w:t>
      </w:r>
      <w:r w:rsidR="007068D6">
        <w:t>0</w:t>
      </w:r>
      <w:r>
        <w:t xml:space="preserve">0 kuna </w:t>
      </w:r>
      <w:r w:rsidR="00532E59">
        <w:t>(bez PDV-a).</w:t>
      </w:r>
    </w:p>
    <w:p w:rsidR="00532E59" w:rsidRDefault="00532E59" w:rsidP="00622EB5">
      <w:r>
        <w:t xml:space="preserve">Planirana vrijednost nabave: </w:t>
      </w:r>
      <w:r w:rsidR="000562C4">
        <w:t>150</w:t>
      </w:r>
      <w:r>
        <w:t>.</w:t>
      </w:r>
      <w:r w:rsidR="00844EE4">
        <w:t>000</w:t>
      </w:r>
      <w:r>
        <w:t>,0</w:t>
      </w:r>
      <w:r w:rsidR="009012A3">
        <w:t>0</w:t>
      </w:r>
      <w:r>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0562C4">
        <w:t xml:space="preserve">Radovi rekonstrukcije prometnice, prometne signalizacije i šetališta Školske ulice u naselju Gračac </w:t>
      </w:r>
      <w:r w:rsidR="00532E59">
        <w:t xml:space="preserve">prema troškovniku </w:t>
      </w:r>
      <w:r>
        <w:t>i uputama naručitelja</w:t>
      </w:r>
    </w:p>
    <w:p w:rsidR="00F31CAA" w:rsidRDefault="00F31CAA" w:rsidP="00622EB5">
      <w:pPr>
        <w:rPr>
          <w:b/>
        </w:rPr>
      </w:pPr>
    </w:p>
    <w:p w:rsidR="00622EB5" w:rsidRDefault="00622EB5" w:rsidP="00622EB5">
      <w:r w:rsidRPr="007F0C9B">
        <w:rPr>
          <w:b/>
        </w:rPr>
        <w:t>3.2. ROK IZVRŠENJA:</w:t>
      </w:r>
      <w:r>
        <w:t xml:space="preserve"> U roku od </w:t>
      </w:r>
      <w:r w:rsidR="00F65F2B">
        <w:t>6</w:t>
      </w:r>
      <w:r>
        <w:t xml:space="preserve">0 dana od potpisa ugovora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 xml:space="preserve">potpisa do </w:t>
      </w:r>
      <w:r w:rsidR="00F65F2B">
        <w:t>31</w:t>
      </w:r>
      <w:r w:rsidR="005A64B4">
        <w:t>.</w:t>
      </w:r>
      <w:r w:rsidR="00F65F2B">
        <w:t>1</w:t>
      </w:r>
      <w:r w:rsidR="005A64B4">
        <w:t>2</w:t>
      </w:r>
      <w:r>
        <w:t>.201</w:t>
      </w:r>
      <w:r w:rsidR="000562C4">
        <w:t>7</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532E59">
        <w:t>9</w:t>
      </w:r>
      <w:r>
        <w:t xml:space="preserve">0 dana od dana otvaranja ponuda,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0562C4" w:rsidRPr="000562C4">
        <w:t>Školska ulica</w:t>
      </w:r>
      <w:r w:rsidR="007214A8" w:rsidRPr="007214A8">
        <w:t xml:space="preserve">, </w:t>
      </w:r>
      <w:r w:rsidRPr="007214A8">
        <w:t xml:space="preserve"> </w:t>
      </w:r>
      <w:r w:rsidR="007214A8" w:rsidRPr="007214A8">
        <w:t>n</w:t>
      </w:r>
      <w:r w:rsidR="00532E59" w:rsidRPr="007214A8">
        <w:t>aselje Gračac, Općina Gračac</w:t>
      </w:r>
      <w:r w:rsidRPr="007214A8">
        <w:t xml:space="preserve"> </w:t>
      </w:r>
    </w:p>
    <w:p w:rsidR="00F31CAA" w:rsidRDefault="00F31CAA" w:rsidP="00622EB5">
      <w:pPr>
        <w:rPr>
          <w:b/>
        </w:rPr>
      </w:pPr>
    </w:p>
    <w:p w:rsidR="00E04CA1" w:rsidRDefault="00622EB5" w:rsidP="00622EB5">
      <w:r w:rsidRPr="007214A8">
        <w:rPr>
          <w:b/>
        </w:rPr>
        <w:t>3.6. ROK , NAČIN I UVJETI PLAĆANJA:</w:t>
      </w:r>
      <w:r w:rsidRPr="007214A8">
        <w:t xml:space="preserve"> </w:t>
      </w:r>
      <w:r w:rsidR="00E04CA1" w:rsidRPr="007214A8">
        <w:t>60</w:t>
      </w:r>
      <w:r>
        <w:t xml:space="preserve"> dana od</w:t>
      </w:r>
      <w:r w:rsidR="00E04CA1">
        <w:t xml:space="preserve"> dana</w:t>
      </w:r>
      <w:r>
        <w:t xml:space="preserve"> ispostave računa,</w:t>
      </w:r>
      <w:r w:rsidR="00F65F2B">
        <w:t xml:space="preserve"> a</w:t>
      </w:r>
      <w:r>
        <w:t xml:space="preserve"> račun se ispostavlja na adresu Naručitelja: Općina </w:t>
      </w:r>
      <w:r w:rsidR="00E04CA1">
        <w:t>Gračac, Park sv. Jurja 1, 23 440 Gračac.</w:t>
      </w:r>
    </w:p>
    <w:p w:rsidR="00CC4646" w:rsidRDefault="00CC4646" w:rsidP="00622EB5">
      <w:pPr>
        <w:rPr>
          <w:b/>
        </w:rPr>
      </w:pPr>
    </w:p>
    <w:p w:rsidR="00622EB5" w:rsidRDefault="00622EB5" w:rsidP="000E7AC0">
      <w:pPr>
        <w:jc w:val="both"/>
      </w:pPr>
      <w:r w:rsidRPr="007F0C9B">
        <w:rPr>
          <w:b/>
        </w:rPr>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1" w:name="_Toc448406718"/>
      <w:bookmarkStart w:id="2" w:name="_Toc448407762"/>
      <w:bookmarkStart w:id="3" w:name="_Toc448407821"/>
      <w:bookmarkStart w:id="4"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1"/>
      <w:bookmarkEnd w:id="2"/>
      <w:bookmarkEnd w:id="3"/>
      <w:bookmarkEnd w:id="4"/>
    </w:p>
    <w:p w:rsidR="007C0784" w:rsidRPr="00203ECB" w:rsidRDefault="007C0784" w:rsidP="000E7AC0">
      <w:pPr>
        <w:jc w:val="both"/>
        <w:rPr>
          <w:rFonts w:eastAsiaTheme="minorEastAsia"/>
        </w:rPr>
      </w:pPr>
      <w:r w:rsidRPr="00203ECB">
        <w:rPr>
          <w:rFonts w:eastAsiaTheme="minorEastAsia"/>
        </w:rPr>
        <w:t>Troškovnik je sastavni dio ove Dokumentacije za nadmetanje.</w:t>
      </w:r>
      <w:r>
        <w:rPr>
          <w:rFonts w:eastAsiaTheme="minorEastAsia"/>
        </w:rPr>
        <w:t xml:space="preserve"> Troškovnik je izrađen od strane VIA FACTUM d.o.o., Jadranska 7, Biograd na Moru.</w:t>
      </w:r>
      <w:r w:rsidRPr="00203ECB">
        <w:rPr>
          <w:rFonts w:eastAsiaTheme="minorEastAsia"/>
        </w:rPr>
        <w:t xml:space="preserv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B916CC" w:rsidRDefault="00B916CC" w:rsidP="007C0784">
      <w:pPr>
        <w:widowControl w:val="0"/>
        <w:kinsoku w:val="0"/>
        <w:autoSpaceDE w:val="0"/>
        <w:autoSpaceDN w:val="0"/>
        <w:adjustRightInd w:val="0"/>
        <w:spacing w:line="185" w:lineRule="auto"/>
        <w:rPr>
          <w:rFonts w:ascii="Arial" w:hAnsi="Arial" w:cs="Arial"/>
          <w:b/>
          <w:noProof/>
          <w:color w:val="000000"/>
          <w:spacing w:val="-5"/>
        </w:rPr>
      </w:pPr>
    </w:p>
    <w:p w:rsidR="007C0784" w:rsidRPr="00CC464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7C0784" w:rsidRPr="00CC4646">
        <w:rPr>
          <w:b/>
          <w:noProof/>
          <w:color w:val="000000"/>
        </w:rPr>
        <w:t>Osnove za isključenje gospodarskog subjekta i dokumenti kojima gospodarski subjekt dokazuje odsutnost osnova za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D6042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D6042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D6042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D6042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D6042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D6042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D6042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D6042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D6042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D6042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D6042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D6042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D6042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D6042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D6042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D6042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D6042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D6042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D6042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D6042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D6042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Pr="00203ECB" w:rsidRDefault="007C0784"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Pr="00203ECB"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Pr="00203ECB"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davanja.</w:t>
      </w:r>
    </w:p>
    <w:p w:rsidR="00C375E3" w:rsidRPr="00203ECB" w:rsidRDefault="00C375E3" w:rsidP="007C0784">
      <w:pPr>
        <w:jc w:val="both"/>
        <w:textAlignment w:val="baseline"/>
        <w:rPr>
          <w:color w:val="231F20"/>
        </w:rPr>
      </w:pPr>
    </w:p>
    <w:p w:rsidR="007C0784" w:rsidRPr="00203ECB" w:rsidRDefault="007C0784" w:rsidP="007C0784">
      <w:pPr>
        <w:jc w:val="both"/>
        <w:textAlignment w:val="baseline"/>
        <w:rPr>
          <w:color w:val="231F20"/>
          <w:sz w:val="20"/>
          <w:szCs w:val="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D6042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D6042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D6042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D6042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D6042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7C0784" w:rsidRPr="00203ECB" w:rsidRDefault="007C0784" w:rsidP="00D60428">
      <w:pPr>
        <w:spacing w:beforeLines="30" w:before="72" w:afterLines="30" w:after="72"/>
        <w:jc w:val="both"/>
        <w:textAlignment w:val="baseline"/>
        <w:rPr>
          <w:color w:val="231F20"/>
        </w:rPr>
      </w:pPr>
    </w:p>
    <w:p w:rsidR="007C0784" w:rsidRDefault="007C0784" w:rsidP="00622EB5">
      <w:pPr>
        <w:rPr>
          <w:b/>
        </w:rPr>
      </w:pPr>
    </w:p>
    <w:p w:rsidR="00622EB5" w:rsidRPr="007F0C9B" w:rsidRDefault="00E04CA1" w:rsidP="00622EB5">
      <w:pPr>
        <w:rPr>
          <w:b/>
        </w:rPr>
      </w:pPr>
      <w:r>
        <w:rPr>
          <w:b/>
        </w:rPr>
        <w:t>5</w:t>
      </w:r>
      <w:r w:rsidR="00622EB5" w:rsidRPr="007F0C9B">
        <w:rPr>
          <w:b/>
        </w:rPr>
        <w:t>.</w:t>
      </w:r>
      <w:r w:rsidR="00367822">
        <w:rPr>
          <w:b/>
        </w:rPr>
        <w:t>3</w:t>
      </w:r>
      <w:r w:rsidR="00622EB5" w:rsidRPr="007F0C9B">
        <w:rPr>
          <w:b/>
        </w:rPr>
        <w:t>. 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 ili više isporuka istog ili sličnog predmeta nabave u posljednje 3 godine ukupne vrijednosti jednakoj ili većoj vrijednosti ponude s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Pr="007F0C9B" w:rsidRDefault="00622EB5" w:rsidP="00622EB5"/>
    <w:p w:rsidR="004F7069" w:rsidRDefault="004F7069" w:rsidP="00622EB5">
      <w:pPr>
        <w:rPr>
          <w:b/>
        </w:rPr>
      </w:pPr>
    </w:p>
    <w:p w:rsidR="004F7069" w:rsidRDefault="004F7069" w:rsidP="00622EB5">
      <w:pPr>
        <w:rPr>
          <w:b/>
        </w:rPr>
      </w:pPr>
    </w:p>
    <w:p w:rsidR="004F7069" w:rsidRDefault="004F7069" w:rsidP="00622EB5">
      <w:pPr>
        <w:rPr>
          <w:b/>
        </w:rPr>
      </w:pPr>
    </w:p>
    <w:p w:rsidR="004F7069" w:rsidRDefault="004F7069" w:rsidP="00622EB5">
      <w:pPr>
        <w:rPr>
          <w:b/>
        </w:rPr>
      </w:pPr>
    </w:p>
    <w:p w:rsidR="00622EB5" w:rsidRDefault="0030362D" w:rsidP="00622EB5">
      <w:r>
        <w:rPr>
          <w:b/>
        </w:rPr>
        <w:t>6</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b/>
          <w:noProof/>
          <w:color w:val="000000"/>
          <w:spacing w:val="-5"/>
        </w:rPr>
      </w:pPr>
      <w:r>
        <w:rPr>
          <w:b/>
          <w:noProof/>
          <w:color w:val="000000"/>
          <w:spacing w:val="-5"/>
        </w:rPr>
        <w:t>6.1.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 i dokumentaciju koja dokazuje da ne postoje razlozi za obavezno isključenje podugovaratelja (navedenim pod točkama</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Postupak eventualne izmjene podugovaratelja izvršit će se sukladno</w:t>
      </w:r>
      <w:r w:rsidR="00BB454E">
        <w:rPr>
          <w:noProof/>
          <w:color w:val="000000"/>
          <w:spacing w:val="-3"/>
        </w:rPr>
        <w:t xml:space="preserve"> pravilima određenim u </w:t>
      </w:r>
      <w:r>
        <w:rPr>
          <w:noProof/>
          <w:color w:val="000000"/>
          <w:spacing w:val="-3"/>
        </w:rPr>
        <w:t xml:space="preserve"> člancima 224. i 225. Zakon</w:t>
      </w:r>
      <w:r w:rsidR="00BB454E">
        <w:rPr>
          <w:noProof/>
          <w:color w:val="000000"/>
          <w:spacing w:val="-3"/>
        </w:rPr>
        <w:t>a</w:t>
      </w:r>
      <w:r>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622EB5" w:rsidRPr="00AE5E49" w:rsidRDefault="0030362D" w:rsidP="00622EB5">
      <w:pPr>
        <w:rPr>
          <w:b/>
        </w:rPr>
      </w:pPr>
      <w:r>
        <w:rPr>
          <w:b/>
        </w:rPr>
        <w:t>6</w:t>
      </w:r>
      <w:r w:rsidR="00622EB5" w:rsidRPr="00AE5E49">
        <w:rPr>
          <w:b/>
        </w:rPr>
        <w:t>.</w:t>
      </w:r>
      <w:r w:rsidR="00862865">
        <w:rPr>
          <w:b/>
        </w:rPr>
        <w:t>2</w:t>
      </w:r>
      <w:r w:rsidR="00622EB5" w:rsidRPr="00AE5E49">
        <w:rPr>
          <w:b/>
        </w:rPr>
        <w:t>. 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3.</w:t>
      </w:r>
      <w:r w:rsidRPr="004C3407">
        <w:t>000,00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Pr>
          <w:b/>
          <w:noProof/>
          <w:color w:val="000000"/>
        </w:rPr>
        <w:t>od</w:t>
      </w:r>
      <w:r>
        <w:rPr>
          <w:b/>
          <w:spacing w:val="-6"/>
          <w:w w:val="110"/>
        </w:rPr>
        <w:t xml:space="preserve"> </w:t>
      </w:r>
      <w:r>
        <w:rPr>
          <w:b/>
          <w:noProof/>
          <w:color w:val="000000"/>
        </w:rPr>
        <w:t>95</w:t>
      </w:r>
      <w:r>
        <w:rPr>
          <w:b/>
          <w:spacing w:val="-4"/>
          <w:w w:val="110"/>
        </w:rPr>
        <w:t xml:space="preserve"> </w:t>
      </w:r>
      <w:r>
        <w:rPr>
          <w:b/>
          <w:noProof/>
          <w:color w:val="000000"/>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916CC" w:rsidRPr="006739B4"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 u 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biti</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Pr>
          <w:noProof/>
          <w:color w:val="000000"/>
          <w:w w:val="133"/>
        </w:rPr>
        <w:t>i</w:t>
      </w:r>
      <w:r>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2A4256" w:rsidRDefault="00B916CC" w:rsidP="00B916CC">
      <w:pPr>
        <w:widowControl w:val="0"/>
        <w:kinsoku w:val="0"/>
        <w:autoSpaceDE w:val="0"/>
        <w:autoSpaceDN w:val="0"/>
        <w:adjustRightInd w:val="0"/>
        <w:spacing w:line="214" w:lineRule="auto"/>
        <w:rPr>
          <w:b/>
          <w:noProof/>
          <w:color w:val="000000"/>
        </w:rPr>
      </w:pPr>
      <w:r w:rsidRPr="002A4256">
        <w:rPr>
          <w:b/>
          <w:noProof/>
          <w:color w:val="000000"/>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u obliku bankarske garancije dostavlja se u dva različita primjerka i to kao dio ponude u elektroničkom obliku te u izvorniku koji se dostavlja kao dio 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b/>
          <w:noProof/>
          <w:color w:val="000000"/>
        </w:rPr>
      </w:pPr>
      <w:r w:rsidRPr="002A4256">
        <w:rPr>
          <w:b/>
          <w:noProof/>
          <w:color w:val="000000"/>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 xml:space="preserve">Naručitelja IBAN br. </w:t>
      </w:r>
      <w:r w:rsidRPr="00613E87">
        <w:t>HR</w:t>
      </w:r>
      <w:r>
        <w:t>7423400091813100005</w:t>
      </w:r>
      <w:r w:rsidRPr="00613E87">
        <w:t xml:space="preserve">, </w:t>
      </w:r>
      <w:r>
        <w:t xml:space="preserve"> sa brojem modela plaćanja HR68, sa pozivom na broj:</w:t>
      </w:r>
      <w:r w:rsidRPr="00DF0F00">
        <w:rPr>
          <w:rFonts w:cs="Calibri"/>
          <w:bCs/>
        </w:rPr>
        <w:t xml:space="preserve"> </w:t>
      </w:r>
      <w:r w:rsidRPr="00DF0F00">
        <w:rPr>
          <w:bCs/>
        </w:rPr>
        <w:t>7242 –OIB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8C4AF2">
        <w:rPr>
          <w:spacing w:val="-30"/>
          <w:w w:val="103"/>
        </w:rPr>
        <w:t>„</w:t>
      </w:r>
      <w:r w:rsidR="00E054DE">
        <w:rPr>
          <w:w w:val="103"/>
        </w:rPr>
        <w:t>Radovi rekonstrukcije Školske ulice Gračac“</w:t>
      </w:r>
      <w:r w:rsidRPr="00E054DE">
        <w:rPr>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367822" w:rsidRDefault="00367822" w:rsidP="00B916CC">
      <w:pPr>
        <w:widowControl w:val="0"/>
        <w:kinsoku w:val="0"/>
        <w:autoSpaceDE w:val="0"/>
        <w:autoSpaceDN w:val="0"/>
        <w:adjustRightInd w:val="0"/>
        <w:spacing w:line="228" w:lineRule="auto"/>
        <w:ind w:hanging="341"/>
        <w:rPr>
          <w:noProof/>
          <w:color w:val="000000"/>
        </w:rPr>
      </w:pPr>
      <w:r>
        <w:rPr>
          <w:b/>
          <w:noProof/>
          <w:color w:val="000000"/>
        </w:rPr>
        <w:t xml:space="preserve">      </w:t>
      </w:r>
      <w:r w:rsidR="00B916CC" w:rsidRPr="00B916CC">
        <w:rPr>
          <w:b/>
          <w:noProof/>
          <w:color w:val="000000"/>
        </w:rPr>
        <w:t>6.3</w:t>
      </w:r>
      <w:r>
        <w:rPr>
          <w:b/>
          <w:noProof/>
          <w:color w:val="000000"/>
        </w:rPr>
        <w:t>. 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B916CC">
        <w:rPr>
          <w:noProof/>
          <w:color w:val="000000"/>
        </w:rPr>
        <w:t>dostaviti</w:t>
      </w:r>
      <w:r w:rsidR="00B916CC">
        <w:rPr>
          <w:spacing w:val="63"/>
          <w:w w:val="110"/>
        </w:rPr>
        <w:t xml:space="preserve"> </w:t>
      </w:r>
      <w:r w:rsidR="00B916CC">
        <w:rPr>
          <w:b/>
          <w:noProof/>
          <w:color w:val="000000"/>
        </w:rPr>
        <w:t>izjavu</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B916CC" w:rsidRDefault="00B916CC" w:rsidP="00B916CC">
      <w:pPr>
        <w:widowControl w:val="0"/>
        <w:kinsoku w:val="0"/>
        <w:autoSpaceDE w:val="0"/>
        <w:autoSpaceDN w:val="0"/>
        <w:adjustRightInd w:val="0"/>
        <w:spacing w:line="334" w:lineRule="auto"/>
        <w:rPr>
          <w:b/>
          <w:noProof/>
          <w:color w:val="000000"/>
          <w:spacing w:val="-5"/>
        </w:rPr>
      </w:pPr>
    </w:p>
    <w:p w:rsidR="00622EB5" w:rsidRPr="00AE5E49" w:rsidRDefault="00622EB5" w:rsidP="00B916CC">
      <w:r w:rsidRPr="00AE5E49">
        <w:t xml:space="preserve">         </w:t>
      </w:r>
    </w:p>
    <w:p w:rsidR="00622EB5" w:rsidRPr="00AE5E49" w:rsidRDefault="0030362D" w:rsidP="00622EB5">
      <w:pPr>
        <w:rPr>
          <w:b/>
        </w:rPr>
      </w:pPr>
      <w:bookmarkStart w:id="5" w:name="_Toc287626016"/>
      <w:bookmarkStart w:id="6" w:name="_Toc262735059"/>
      <w:r>
        <w:rPr>
          <w:b/>
        </w:rPr>
        <w:t>6</w:t>
      </w:r>
      <w:r w:rsidR="00622EB5" w:rsidRPr="00AE5E49">
        <w:rPr>
          <w:b/>
        </w:rPr>
        <w:t>.</w:t>
      </w:r>
      <w:r w:rsidR="00367822">
        <w:rPr>
          <w:b/>
        </w:rPr>
        <w:t>4</w:t>
      </w:r>
      <w:r w:rsidR="00622EB5" w:rsidRPr="00AE5E49">
        <w:rPr>
          <w:b/>
        </w:rPr>
        <w:t xml:space="preserve">  Potrebne izjave/prilozi kao obvezni sadržaj ponude</w:t>
      </w:r>
      <w:bookmarkEnd w:id="5"/>
      <w:r w:rsidR="00622EB5" w:rsidRPr="00AE5E49">
        <w:rPr>
          <w:b/>
        </w:rPr>
        <w:t xml:space="preserve"> </w:t>
      </w:r>
      <w:bookmarkEnd w:id="6"/>
    </w:p>
    <w:p w:rsidR="00F31CAA" w:rsidRDefault="00F31CAA" w:rsidP="00622EB5"/>
    <w:p w:rsidR="00622EB5" w:rsidRPr="00AE5E49" w:rsidRDefault="0030362D" w:rsidP="00622EB5">
      <w:r>
        <w:t>6</w:t>
      </w:r>
      <w:r w:rsidR="00622EB5" w:rsidRPr="00AE5E49">
        <w:t>.</w:t>
      </w:r>
      <w:r w:rsidR="00367822">
        <w:t>4</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30362D" w:rsidP="00622EB5">
      <w:r>
        <w:t>6</w:t>
      </w:r>
      <w:r w:rsidR="00622EB5" w:rsidRPr="00AE5E49">
        <w:t>.</w:t>
      </w:r>
      <w:r w:rsidR="00367822">
        <w:t>4</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30362D" w:rsidP="00622EB5">
      <w:pPr>
        <w:rPr>
          <w:b/>
        </w:rPr>
      </w:pPr>
      <w:r>
        <w:rPr>
          <w:b/>
        </w:rPr>
        <w:t>7</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8C4AF2">
        <w:t xml:space="preserve"> i izjave</w:t>
      </w:r>
      <w:r>
        <w:t xml:space="preserve">) </w:t>
      </w:r>
    </w:p>
    <w:p w:rsidR="00622EB5" w:rsidRPr="00AE5E49" w:rsidRDefault="00622EB5" w:rsidP="00622EB5">
      <w:pPr>
        <w:rPr>
          <w:b/>
        </w:rPr>
      </w:pPr>
      <w:r w:rsidRPr="00AE5E49">
        <w:rPr>
          <w:b/>
        </w:rPr>
        <w:t xml:space="preserve">- Jamstva  </w:t>
      </w:r>
    </w:p>
    <w:p w:rsidR="00F31CAA" w:rsidRDefault="00F31CAA" w:rsidP="00622EB5">
      <w:pPr>
        <w:rPr>
          <w:b/>
        </w:rPr>
      </w:pPr>
    </w:p>
    <w:p w:rsidR="00622EB5" w:rsidRPr="00AE5E49" w:rsidRDefault="0030362D" w:rsidP="00622EB5">
      <w:pPr>
        <w:rPr>
          <w:b/>
        </w:rPr>
      </w:pPr>
      <w:r>
        <w:rPr>
          <w:b/>
        </w:rPr>
        <w:t>8</w:t>
      </w:r>
      <w:r w:rsidR="00622EB5" w:rsidRPr="00AE5E49">
        <w:rPr>
          <w:b/>
        </w:rPr>
        <w:t xml:space="preserve">. NAČIN DOSTAVE PONUDE </w:t>
      </w:r>
    </w:p>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 xml:space="preserve">a koje je </w:t>
      </w:r>
    </w:p>
    <w:p w:rsidR="00622EB5" w:rsidRDefault="00622EB5" w:rsidP="00622EB5">
      <w:r>
        <w:t>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085412" w:rsidRDefault="00085412" w:rsidP="00085412">
      <w:pPr>
        <w:rPr>
          <w:lang w:val="pl-PL"/>
        </w:rPr>
      </w:pPr>
      <w:r>
        <w:rPr>
          <w:b/>
          <w:color w:val="000000"/>
        </w:rPr>
        <w:t>8.1.</w:t>
      </w:r>
      <w:r w:rsidR="00622EB5" w:rsidRPr="00F31CAA">
        <w:rPr>
          <w:b/>
        </w:rPr>
        <w:t xml:space="preserve"> </w:t>
      </w:r>
      <w:r>
        <w:rPr>
          <w:b/>
        </w:rPr>
        <w:t>VRIJEME I MJESTO DOSTAVLJANJA P</w:t>
      </w:r>
      <w:r w:rsidR="00622EB5" w:rsidRPr="00F31CAA">
        <w:rPr>
          <w:b/>
        </w:rPr>
        <w:t>ONUD</w:t>
      </w:r>
      <w:r>
        <w:rPr>
          <w:b/>
        </w:rPr>
        <w:t>A</w:t>
      </w:r>
      <w:r w:rsidR="00622EB5" w:rsidRPr="00F31CAA">
        <w:rPr>
          <w:b/>
        </w:rPr>
        <w:t>:</w:t>
      </w:r>
      <w:r w:rsidR="00622EB5" w:rsidRPr="00F31CAA">
        <w:t xml:space="preserve"> </w:t>
      </w:r>
      <w:r w:rsidR="00622EB5" w:rsidRPr="00F31CAA">
        <w:rPr>
          <w:lang w:val="pl-PL"/>
        </w:rPr>
        <w:t xml:space="preserve"> </w:t>
      </w:r>
    </w:p>
    <w:p w:rsidR="00085412" w:rsidRDefault="00085412" w:rsidP="00085412">
      <w:pPr>
        <w:rPr>
          <w:lang w:val="pl-PL"/>
        </w:rPr>
      </w:pPr>
    </w:p>
    <w:p w:rsidR="00C444F7" w:rsidRPr="00844EE4" w:rsidRDefault="00622EB5" w:rsidP="00C444F7">
      <w:pPr>
        <w:pStyle w:val="Odlomakpopisa"/>
        <w:numPr>
          <w:ilvl w:val="0"/>
          <w:numId w:val="7"/>
        </w:numPr>
        <w:spacing w:after="0" w:line="240" w:lineRule="auto"/>
        <w:jc w:val="both"/>
        <w:rPr>
          <w:rFonts w:ascii="Times New Roman" w:hAnsi="Times New Roman"/>
          <w:b/>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C444F7">
        <w:rPr>
          <w:rFonts w:ascii="Times New Roman" w:hAnsi="Times New Roman"/>
          <w:b/>
          <w:u w:val="single"/>
        </w:rPr>
        <w:t>46</w:t>
      </w:r>
      <w:r w:rsidR="00C444F7" w:rsidRPr="00844EE4">
        <w:rPr>
          <w:rFonts w:ascii="Times New Roman" w:hAnsi="Times New Roman"/>
          <w:b/>
          <w:u w:val="single"/>
        </w:rPr>
        <w:t>-201</w:t>
      </w:r>
      <w:r w:rsidR="00C444F7">
        <w:rPr>
          <w:rFonts w:ascii="Times New Roman" w:hAnsi="Times New Roman"/>
          <w:b/>
          <w:u w:val="single"/>
        </w:rPr>
        <w:t>7</w:t>
      </w:r>
      <w:r w:rsidR="00C444F7" w:rsidRPr="00844EE4">
        <w:rPr>
          <w:rFonts w:ascii="Times New Roman" w:hAnsi="Times New Roman"/>
          <w:b/>
          <w:u w:val="single"/>
        </w:rPr>
        <w:t>-EBV</w:t>
      </w:r>
      <w:r w:rsidR="00C444F7">
        <w:rPr>
          <w:rFonts w:ascii="Times New Roman" w:hAnsi="Times New Roman"/>
          <w:b/>
          <w:u w:val="single"/>
        </w:rPr>
        <w:t>-</w:t>
      </w:r>
      <w:r w:rsidR="00530F58" w:rsidRPr="00530F58">
        <w:rPr>
          <w:rFonts w:ascii="Times New Roman" w:hAnsi="Times New Roman"/>
          <w:b/>
        </w:rPr>
        <w:t xml:space="preserve"> </w:t>
      </w:r>
      <w:r w:rsidR="00530F58" w:rsidRPr="00C444F7">
        <w:rPr>
          <w:rFonts w:ascii="Times New Roman" w:hAnsi="Times New Roman"/>
          <w:b/>
        </w:rPr>
        <w:t>Radovi rekonstrukcije prometnice, prometne signalizacije i šetališta Školske ulice u naselju Gračac</w:t>
      </w:r>
      <w:r w:rsidR="00C444F7" w:rsidRPr="00844EE4">
        <w:rPr>
          <w:rFonts w:ascii="Times New Roman" w:hAnsi="Times New Roman"/>
          <w:b/>
          <w:u w:val="single"/>
        </w:rPr>
        <w:t xml:space="preserve"> </w:t>
      </w:r>
    </w:p>
    <w:p w:rsidR="00085412" w:rsidRPr="00085412" w:rsidRDefault="00085412" w:rsidP="00085412">
      <w:pPr>
        <w:rPr>
          <w:b/>
          <w:color w:val="000000"/>
        </w:rPr>
      </w:pPr>
    </w:p>
    <w:p w:rsidR="00C444F7" w:rsidRDefault="00C444F7"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C444F7" w:rsidP="00C444F7">
      <w:pPr>
        <w:widowControl w:val="0"/>
        <w:kinsoku w:val="0"/>
        <w:autoSpaceDE w:val="0"/>
        <w:autoSpaceDN w:val="0"/>
        <w:adjustRightInd w:val="0"/>
        <w:spacing w:line="331" w:lineRule="auto"/>
        <w:ind w:firstLine="3041"/>
        <w:rPr>
          <w:noProof/>
        </w:rPr>
      </w:pPr>
      <w:r>
        <w:rPr>
          <w:b/>
          <w:noProof/>
          <w:color w:val="FF0000"/>
        </w:rPr>
        <w:t>2</w:t>
      </w:r>
      <w:r w:rsidR="00E054DE">
        <w:rPr>
          <w:b/>
          <w:noProof/>
          <w:color w:val="FF0000"/>
        </w:rPr>
        <w:t>8</w:t>
      </w:r>
      <w:r>
        <w:rPr>
          <w:b/>
          <w:noProof/>
          <w:color w:val="FF0000"/>
        </w:rPr>
        <w:t>.07.</w:t>
      </w:r>
      <w:r>
        <w:rPr>
          <w:b/>
          <w:spacing w:val="-8"/>
          <w:w w:val="110"/>
        </w:rPr>
        <w:t xml:space="preserve"> </w:t>
      </w:r>
      <w:r>
        <w:rPr>
          <w:b/>
          <w:noProof/>
          <w:color w:val="FF0000"/>
        </w:rPr>
        <w:t>2017.</w:t>
      </w:r>
      <w:r>
        <w:rPr>
          <w:b/>
          <w:spacing w:val="-4"/>
          <w:w w:val="110"/>
        </w:rPr>
        <w:t xml:space="preserve"> </w:t>
      </w:r>
      <w:r>
        <w:rPr>
          <w:b/>
          <w:noProof/>
          <w:color w:val="FF0000"/>
        </w:rPr>
        <w:t>do</w:t>
      </w:r>
      <w:r>
        <w:rPr>
          <w:b/>
          <w:spacing w:val="3"/>
          <w:w w:val="110"/>
        </w:rPr>
        <w:t xml:space="preserve"> </w:t>
      </w:r>
      <w:r>
        <w:rPr>
          <w:b/>
          <w:noProof/>
          <w:color w:val="FF0000"/>
        </w:rPr>
        <w:t>10:00</w:t>
      </w:r>
      <w:r>
        <w:rPr>
          <w:b/>
          <w:spacing w:val="-14"/>
          <w:w w:val="110"/>
        </w:rPr>
        <w:t xml:space="preserve"> </w:t>
      </w:r>
      <w:r>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F31CAA" w:rsidRDefault="00F31CAA" w:rsidP="00622EB5"/>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30F58" w:rsidRDefault="00530F58" w:rsidP="00530F58">
      <w:pPr>
        <w:widowControl w:val="0"/>
        <w:kinsoku w:val="0"/>
        <w:autoSpaceDE w:val="0"/>
        <w:autoSpaceDN w:val="0"/>
        <w:adjustRightInd w:val="0"/>
        <w:spacing w:line="334" w:lineRule="auto"/>
        <w:rPr>
          <w:noProof/>
          <w:color w:val="000000"/>
          <w:spacing w:val="-3"/>
        </w:rPr>
      </w:pPr>
    </w:p>
    <w:p w:rsidR="00530F58" w:rsidRDefault="00530F58" w:rsidP="00530F58">
      <w:pPr>
        <w:widowControl w:val="0"/>
        <w:kinsoku w:val="0"/>
        <w:autoSpaceDE w:val="0"/>
        <w:autoSpaceDN w:val="0"/>
        <w:adjustRightInd w:val="0"/>
        <w:spacing w:line="334" w:lineRule="auto"/>
      </w:pPr>
      <w:r>
        <w:rPr>
          <w:noProof/>
          <w:color w:val="000000"/>
          <w:spacing w:val="-3"/>
        </w:rPr>
        <w:t>Javno otvaranje ponuda održat će se</w:t>
      </w:r>
      <w:r>
        <w:rPr>
          <w:noProof/>
          <w:color w:val="000000"/>
        </w:rPr>
        <w:t>:</w:t>
      </w:r>
    </w:p>
    <w:p w:rsidR="00530F58" w:rsidRDefault="00530F58" w:rsidP="00530F58">
      <w:pPr>
        <w:widowControl w:val="0"/>
        <w:kinsoku w:val="0"/>
        <w:autoSpaceDE w:val="0"/>
        <w:autoSpaceDN w:val="0"/>
        <w:adjustRightInd w:val="0"/>
        <w:spacing w:line="329" w:lineRule="auto"/>
        <w:ind w:firstLine="3480"/>
      </w:pPr>
      <w:r>
        <w:rPr>
          <w:b/>
          <w:noProof/>
          <w:color w:val="FF0000"/>
          <w:w w:val="90"/>
        </w:rPr>
        <w:t>2</w:t>
      </w:r>
      <w:r w:rsidR="00E054DE">
        <w:rPr>
          <w:b/>
          <w:noProof/>
          <w:color w:val="FF0000"/>
          <w:w w:val="90"/>
        </w:rPr>
        <w:t>8</w:t>
      </w:r>
      <w:r>
        <w:rPr>
          <w:b/>
          <w:noProof/>
          <w:color w:val="FF0000"/>
          <w:w w:val="90"/>
        </w:rPr>
        <w:t>.</w:t>
      </w:r>
      <w:r>
        <w:rPr>
          <w:b/>
          <w:spacing w:val="-16"/>
          <w:w w:val="110"/>
        </w:rPr>
        <w:t xml:space="preserve"> </w:t>
      </w:r>
      <w:r>
        <w:rPr>
          <w:b/>
          <w:noProof/>
          <w:color w:val="FF0000"/>
        </w:rPr>
        <w:t>07.</w:t>
      </w:r>
      <w:r>
        <w:rPr>
          <w:b/>
          <w:spacing w:val="-8"/>
          <w:w w:val="110"/>
        </w:rPr>
        <w:t xml:space="preserve"> </w:t>
      </w:r>
      <w:r>
        <w:rPr>
          <w:b/>
          <w:noProof/>
          <w:color w:val="FF0000"/>
        </w:rPr>
        <w:t>2017.</w:t>
      </w:r>
      <w:r>
        <w:rPr>
          <w:b/>
          <w:spacing w:val="-6"/>
          <w:w w:val="110"/>
        </w:rPr>
        <w:t xml:space="preserve"> </w:t>
      </w:r>
      <w:r>
        <w:rPr>
          <w:b/>
          <w:noProof/>
          <w:color w:val="FF0000"/>
        </w:rPr>
        <w:t>u</w:t>
      </w:r>
      <w:r>
        <w:rPr>
          <w:b/>
          <w:spacing w:val="6"/>
          <w:w w:val="110"/>
        </w:rPr>
        <w:t xml:space="preserve"> </w:t>
      </w:r>
      <w:r>
        <w:rPr>
          <w:b/>
          <w:noProof/>
          <w:color w:val="FF0000"/>
        </w:rPr>
        <w:t>10:00</w:t>
      </w:r>
      <w:r>
        <w:rPr>
          <w:b/>
          <w:spacing w:val="-15"/>
          <w:w w:val="110"/>
        </w:rPr>
        <w:t xml:space="preserve"> </w:t>
      </w:r>
      <w:r>
        <w:rPr>
          <w:b/>
          <w:noProof/>
          <w:color w:val="FF0000"/>
        </w:rPr>
        <w:t>sati</w:t>
      </w:r>
      <w:r>
        <w:rPr>
          <w:b/>
          <w:spacing w:val="80"/>
        </w:rPr>
        <w:t xml:space="preserve"> </w:t>
      </w:r>
      <w:r>
        <w:rPr>
          <w:noProof/>
          <w:color w:val="000000"/>
          <w:spacing w:val="-10"/>
        </w:rPr>
        <w:t>na</w:t>
      </w:r>
      <w:r>
        <w:rPr>
          <w:spacing w:val="-10"/>
          <w:w w:val="110"/>
        </w:rPr>
        <w:t xml:space="preserve"> </w:t>
      </w:r>
      <w:r>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622EB5" w:rsidRDefault="00622EB5" w:rsidP="00622EB5"/>
    <w:p w:rsidR="00622EB5" w:rsidRPr="00E60182" w:rsidRDefault="0030362D" w:rsidP="00622EB5">
      <w:pPr>
        <w:rPr>
          <w:b/>
        </w:rPr>
      </w:pPr>
      <w:r>
        <w:rPr>
          <w:b/>
        </w:rPr>
        <w:t>9</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5"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6" w:history="1">
        <w:r w:rsidR="004F7069" w:rsidRPr="00F534E4">
          <w:rPr>
            <w:rStyle w:val="Hiperveza"/>
          </w:rPr>
          <w:t>www.gracac.hr</w:t>
        </w:r>
      </w:hyperlink>
      <w:r w:rsidR="00901313">
        <w:t>.</w:t>
      </w:r>
    </w:p>
    <w:p w:rsidR="00901313" w:rsidRDefault="00901313" w:rsidP="00622EB5"/>
    <w:p w:rsidR="00901313" w:rsidRDefault="00901313" w:rsidP="00901313">
      <w:pPr>
        <w:widowControl w:val="0"/>
        <w:kinsoku w:val="0"/>
        <w:autoSpaceDE w:val="0"/>
        <w:autoSpaceDN w:val="0"/>
        <w:adjustRightInd w:val="0"/>
        <w:spacing w:before="610" w:line="190" w:lineRule="auto"/>
      </w:pPr>
      <w:r>
        <w:rPr>
          <w:b/>
          <w:noProof/>
          <w:color w:val="000000"/>
          <w:spacing w:val="-4"/>
        </w:rPr>
        <w:t>9.1.</w:t>
      </w:r>
      <w:r>
        <w:rPr>
          <w:b/>
          <w:spacing w:val="-14"/>
          <w:w w:val="110"/>
        </w:rPr>
        <w:t xml:space="preserve"> </w:t>
      </w:r>
      <w:r>
        <w:rPr>
          <w:b/>
          <w:noProof/>
          <w:color w:val="000000"/>
        </w:rPr>
        <w:t>POJAŠNJENJE I UPOTPUNJAVANJE</w:t>
      </w:r>
      <w:r w:rsidRPr="00383A53">
        <w:rPr>
          <w:b/>
          <w:w w:val="110"/>
        </w:rPr>
        <w:t xml:space="preserve"> </w:t>
      </w:r>
      <w:r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Naručiteljće zahtjevati od ponuditelja da pojasne ili upotpune dokumente koje su predali u ponudi temeljem ove Dokumentacije, ako informacije ili dokumentacija koje je trebao dostaviti gospodarski subjekt nepotpuni ili pogrešni ili se takvima čine ili ako nedostaju određeni dokumenti. Naručitelj će poštivati načela jednakog tretmana i transparentnosti, zahtjevati od dotičnik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901313" w:rsidP="00622EB5">
      <w:pPr>
        <w:rPr>
          <w:b/>
        </w:rPr>
      </w:pPr>
      <w:r w:rsidRPr="00901313">
        <w:rPr>
          <w:b/>
        </w:rPr>
        <w:t>9.</w:t>
      </w:r>
      <w:r>
        <w:rPr>
          <w:b/>
        </w:rPr>
        <w:t>1</w:t>
      </w:r>
      <w:r w:rsidRPr="00901313">
        <w:rPr>
          <w:b/>
        </w:rPr>
        <w:t>.</w:t>
      </w:r>
      <w:r>
        <w:rPr>
          <w:b/>
        </w:rPr>
        <w:t>1.</w:t>
      </w:r>
      <w:r w:rsidRPr="00901313">
        <w:rPr>
          <w:b/>
        </w:rPr>
        <w:t xml:space="preserve"> </w:t>
      </w:r>
      <w:r w:rsidR="00622EB5" w:rsidRPr="00901313">
        <w:rPr>
          <w:b/>
        </w:rPr>
        <w:t>Obavijesti o rezultatima</w:t>
      </w:r>
    </w:p>
    <w:p w:rsidR="00622EB5" w:rsidRDefault="00622EB5" w:rsidP="00622EB5">
      <w:r>
        <w:t xml:space="preserve">Pisanu obavijest o rezultatima nabave Naručitelj će dostaviti </w:t>
      </w:r>
    </w:p>
    <w:p w:rsidR="00622EB5" w:rsidRDefault="00622EB5" w:rsidP="00622EB5">
      <w:r>
        <w:t>ponudit</w:t>
      </w:r>
      <w:r w:rsidR="00085412">
        <w:t>elju bez odgode elektroničkim putem</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901313" w:rsidP="00901313">
      <w:pPr>
        <w:widowControl w:val="0"/>
        <w:kinsoku w:val="0"/>
        <w:autoSpaceDE w:val="0"/>
        <w:autoSpaceDN w:val="0"/>
        <w:adjustRightInd w:val="0"/>
        <w:spacing w:after="100" w:afterAutospacing="1" w:line="190" w:lineRule="auto"/>
        <w:rPr>
          <w:b/>
          <w:bCs/>
        </w:rPr>
      </w:pPr>
      <w:r w:rsidRPr="00901313">
        <w:rPr>
          <w:b/>
          <w:bCs/>
        </w:rPr>
        <w:t xml:space="preserve">9.1.2.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4F7069" w:rsidRDefault="004F7069"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10</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901313" w:rsidRDefault="00901313" w:rsidP="00622EB5">
      <w:pPr>
        <w:rPr>
          <w:b/>
          <w:bCs/>
          <w:sz w:val="22"/>
          <w:szCs w:val="22"/>
        </w:rPr>
      </w:pPr>
    </w:p>
    <w:p w:rsidR="004F7069" w:rsidRDefault="004F7069" w:rsidP="00622EB5">
      <w:pPr>
        <w:rPr>
          <w:b/>
          <w:bCs/>
          <w:sz w:val="22"/>
          <w:szCs w:val="22"/>
        </w:rPr>
      </w:pPr>
    </w:p>
    <w:p w:rsidR="004F7069" w:rsidRDefault="004F7069"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22EB5" w:rsidP="00691BAE">
      <w:r>
        <w:t xml:space="preserve"> </w:t>
      </w:r>
      <w:r w:rsidR="00691BAE">
        <w:tab/>
      </w:r>
      <w:r w:rsidR="00691BAE">
        <w:tab/>
      </w:r>
      <w:r w:rsidR="00691BAE">
        <w:tab/>
      </w:r>
      <w:r w:rsidR="00691BAE">
        <w:tab/>
      </w:r>
      <w:r w:rsidR="00691BAE">
        <w:tab/>
      </w:r>
      <w:r w:rsidR="00691BAE">
        <w:tab/>
      </w:r>
      <w:r w:rsidR="00691BAE">
        <w:tab/>
        <w:t xml:space="preserve">           </w:t>
      </w:r>
    </w:p>
    <w:p w:rsidR="00901313" w:rsidRDefault="00901313" w:rsidP="00691BAE"/>
    <w:p w:rsidR="00901313" w:rsidRDefault="00901313" w:rsidP="00691BAE"/>
    <w:p w:rsidR="00901313" w:rsidRDefault="00901313" w:rsidP="00691BAE"/>
    <w:p w:rsidR="00530F58" w:rsidRDefault="00901313" w:rsidP="008C4AF2">
      <w:r>
        <w:t xml:space="preserve"> </w:t>
      </w:r>
      <w:r>
        <w:tab/>
      </w:r>
      <w:r>
        <w:tab/>
      </w:r>
      <w:r>
        <w:tab/>
      </w:r>
      <w:r>
        <w:tab/>
      </w:r>
      <w:r>
        <w:tab/>
      </w:r>
      <w:r>
        <w:tab/>
      </w:r>
      <w:r>
        <w:tab/>
      </w:r>
      <w:r>
        <w:tab/>
      </w:r>
      <w:r>
        <w:tab/>
      </w:r>
    </w:p>
    <w:p w:rsidR="008C4AF2" w:rsidRDefault="008C4AF2" w:rsidP="008C4AF2">
      <w:pPr>
        <w:widowControl w:val="0"/>
        <w:kinsoku w:val="0"/>
        <w:autoSpaceDE w:val="0"/>
        <w:autoSpaceDN w:val="0"/>
        <w:adjustRightInd w:val="0"/>
        <w:spacing w:after="100" w:afterAutospacing="1"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8C4AF2">
      <w:r>
        <w:t xml:space="preserve">                                                                                      </w:t>
      </w:r>
      <w:r>
        <w:tab/>
        <w:t xml:space="preserve">           Općinska načelnica </w:t>
      </w:r>
    </w:p>
    <w:p w:rsidR="008C4AF2" w:rsidRPr="00537606" w:rsidRDefault="008C4AF2" w:rsidP="008C4AF2">
      <w:r>
        <w:t xml:space="preserve">                                                                          </w:t>
      </w:r>
      <w:r>
        <w:tab/>
      </w:r>
      <w:r>
        <w:tab/>
        <w:t xml:space="preserve">           Nataša Turbić, prof.</w:t>
      </w:r>
    </w:p>
    <w:p w:rsidR="008C4AF2" w:rsidRDefault="008C4AF2" w:rsidP="008C4AF2">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901313" w:rsidRDefault="00901313" w:rsidP="00622EB5">
      <w:pPr>
        <w:rPr>
          <w:b/>
        </w:rPr>
      </w:pPr>
    </w:p>
    <w:p w:rsidR="00901313" w:rsidRDefault="00901313" w:rsidP="00622EB5">
      <w:pPr>
        <w:rPr>
          <w:b/>
        </w:rPr>
      </w:pPr>
    </w:p>
    <w:p w:rsidR="00901313" w:rsidRDefault="008C4AF2" w:rsidP="00622EB5">
      <w:pPr>
        <w:rPr>
          <w:b/>
        </w:rPr>
      </w:pPr>
      <w:r>
        <w:rPr>
          <w:b/>
        </w:rPr>
        <w:t xml:space="preserve">    </w:t>
      </w:r>
    </w:p>
    <w:p w:rsidR="00901313" w:rsidRDefault="00901313" w:rsidP="00622EB5">
      <w:pPr>
        <w:rPr>
          <w:b/>
        </w:rPr>
      </w:pPr>
    </w:p>
    <w:p w:rsidR="00622EB5" w:rsidRPr="00FD108D" w:rsidRDefault="00622EB5" w:rsidP="00622EB5">
      <w:pPr>
        <w:rPr>
          <w:b/>
        </w:rPr>
      </w:pPr>
      <w:r w:rsidRPr="00FD108D">
        <w:rPr>
          <w:b/>
        </w:rPr>
        <w:t xml:space="preserve">PONUDBENI LIST </w:t>
      </w:r>
    </w:p>
    <w:p w:rsidR="00EA0B0E" w:rsidRDefault="00EA0B0E" w:rsidP="00EA0B0E"/>
    <w:p w:rsidR="00F65F2B" w:rsidRDefault="00622EB5" w:rsidP="00EA0B0E">
      <w:r>
        <w:t>Predmet nabave:</w:t>
      </w:r>
      <w:r w:rsidR="00530F58" w:rsidRPr="00530F58">
        <w:rPr>
          <w:b/>
        </w:rPr>
        <w:t xml:space="preserve"> </w:t>
      </w:r>
      <w:r w:rsidR="00530F58" w:rsidRPr="00C444F7">
        <w:rPr>
          <w:b/>
        </w:rPr>
        <w:t>Radovi rekonstrukcije prometnice, prometne signalizacije i šetališta Školske ulice u naselju Gračac</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Adresa (poslovno sjedište</w:t>
      </w:r>
      <w:r w:rsidR="00B00DD2">
        <w:t>/nastan</w:t>
      </w:r>
      <w:r>
        <w:t xml:space="preserve">):_______________________________________________ </w:t>
      </w:r>
    </w:p>
    <w:p w:rsidR="00622EB5" w:rsidRDefault="00622EB5" w:rsidP="00EA0B0E">
      <w:pPr>
        <w:spacing w:after="120"/>
      </w:pPr>
      <w:r>
        <w:t>OIB:______________________________</w:t>
      </w:r>
      <w:r w:rsidR="008C4AF2">
        <w:t>_____</w:t>
      </w:r>
      <w:r>
        <w:t xml:space="preserve">___________________________________ </w:t>
      </w:r>
    </w:p>
    <w:p w:rsidR="00622EB5" w:rsidRDefault="00622EB5" w:rsidP="00EA0B0E">
      <w:pPr>
        <w:spacing w:after="120"/>
      </w:pPr>
      <w:r>
        <w:t>Broj računa (IBAN):__________________________</w:t>
      </w:r>
      <w:r w:rsidR="008C4AF2">
        <w:t>______</w:t>
      </w:r>
      <w:r>
        <w:t xml:space="preserve">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 xml:space="preserve">Sudjelovanje podugovaratelja (zaokružiti): DA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2017.godin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622EB5" w:rsidRPr="008C4AF2" w:rsidRDefault="00622EB5" w:rsidP="00622EB5">
      <w:pPr>
        <w:rPr>
          <w:b/>
        </w:rPr>
      </w:pPr>
      <w:r w:rsidRPr="008C4AF2">
        <w:rPr>
          <w:b/>
        </w:rPr>
        <w:t xml:space="preserve">OBRAZAC IZJAVE O NEKAŽNJAVANJU </w:t>
      </w:r>
    </w:p>
    <w:p w:rsidR="00622EB5" w:rsidRDefault="00622EB5" w:rsidP="00622EB5">
      <w:r>
        <w:t xml:space="preserve"> </w:t>
      </w:r>
    </w:p>
    <w:p w:rsidR="00622EB5" w:rsidRDefault="00622EB5" w:rsidP="00622EB5">
      <w:r>
        <w:t xml:space="preserve"> </w:t>
      </w:r>
    </w:p>
    <w:p w:rsidR="00A94A79" w:rsidRPr="000E7AC0" w:rsidRDefault="00A94A79" w:rsidP="00A94A79">
      <w:pPr>
        <w:pStyle w:val="Default"/>
      </w:pPr>
      <w:r w:rsidRPr="000E7AC0">
        <w:t xml:space="preserve">Temeljem točke  Dokumentacije o nabavi, dajem sljedeću: </w:t>
      </w:r>
    </w:p>
    <w:p w:rsidR="00A94A79" w:rsidRPr="000E7AC0" w:rsidRDefault="00A94A79" w:rsidP="00A94A79">
      <w:pPr>
        <w:pStyle w:val="Default"/>
      </w:pPr>
    </w:p>
    <w:p w:rsidR="004F7069" w:rsidRDefault="004F7069" w:rsidP="00A94A79">
      <w:pPr>
        <w:pStyle w:val="Default"/>
        <w:jc w:val="center"/>
        <w:rPr>
          <w:b/>
          <w:bCs/>
        </w:rPr>
      </w:pPr>
    </w:p>
    <w:p w:rsidR="004F7069" w:rsidRDefault="004F7069" w:rsidP="00A94A79">
      <w:pPr>
        <w:pStyle w:val="Default"/>
        <w:jc w:val="center"/>
        <w:rPr>
          <w:b/>
          <w:bCs/>
        </w:rPr>
      </w:pPr>
    </w:p>
    <w:p w:rsidR="00A94A79" w:rsidRPr="000E7AC0" w:rsidRDefault="00A94A79" w:rsidP="00A94A79">
      <w:pPr>
        <w:pStyle w:val="Default"/>
        <w:jc w:val="center"/>
        <w:rPr>
          <w:b/>
          <w:bCs/>
        </w:rPr>
      </w:pPr>
      <w:r w:rsidRPr="000E7AC0">
        <w:rPr>
          <w:b/>
          <w:bCs/>
        </w:rPr>
        <w:t xml:space="preserve">IZJAVU O NEKAŽNJAVANJU </w:t>
      </w:r>
    </w:p>
    <w:p w:rsidR="00A94A79" w:rsidRPr="000E7AC0" w:rsidRDefault="00A94A79" w:rsidP="00A94A79">
      <w:pPr>
        <w:pStyle w:val="Default"/>
        <w:jc w:val="center"/>
        <w:rPr>
          <w:b/>
          <w:bCs/>
        </w:rPr>
      </w:pPr>
    </w:p>
    <w:p w:rsidR="00A94A79" w:rsidRPr="000E7AC0" w:rsidRDefault="00A94A79" w:rsidP="00A94A79">
      <w:pPr>
        <w:pStyle w:val="Default"/>
        <w:jc w:val="both"/>
      </w:pPr>
      <w:r w:rsidRPr="000E7AC0">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w:t>
      </w:r>
      <w:r w:rsidR="00EA0B0E">
        <w:t>_______</w:t>
      </w:r>
      <w:r w:rsidRPr="000E7AC0">
        <w:t>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A94A79" w:rsidRPr="000E7AC0" w:rsidRDefault="00A94A79" w:rsidP="00A94A79">
      <w:pPr>
        <w:pStyle w:val="Default"/>
        <w:spacing w:after="38"/>
        <w:jc w:val="both"/>
      </w:pPr>
      <w:r w:rsidRPr="000E7AC0">
        <w:t xml:space="preserve">članka 328. (zločinačko udruženje) i članka 329. (počinjenje kaznenog djela u sastavu zločinačkog udruženja) Kaznenog zakona; </w:t>
      </w:r>
    </w:p>
    <w:p w:rsidR="00A94A79" w:rsidRPr="000E7AC0" w:rsidRDefault="00A94A79" w:rsidP="00A94A79">
      <w:pPr>
        <w:pStyle w:val="Default"/>
        <w:jc w:val="both"/>
      </w:pPr>
      <w:r w:rsidRPr="000E7AC0">
        <w:t xml:space="preserve">članka 333. (udruživanje za počinjenje kaznenih djela),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b) korupciju, na temelju: </w:t>
      </w:r>
    </w:p>
    <w:p w:rsidR="00A94A79" w:rsidRPr="000E7AC0" w:rsidRDefault="00A94A79" w:rsidP="00A94A79">
      <w:pPr>
        <w:pStyle w:val="Default"/>
        <w:spacing w:after="38"/>
        <w:jc w:val="both"/>
      </w:pPr>
      <w:r w:rsidRPr="000E7AC0">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94A79" w:rsidRPr="000E7AC0" w:rsidRDefault="00A94A79" w:rsidP="00A94A79">
      <w:pPr>
        <w:pStyle w:val="Default"/>
        <w:jc w:val="both"/>
      </w:pPr>
      <w:r w:rsidRPr="000E7AC0">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c) prijevaru, na temelju: </w:t>
      </w:r>
    </w:p>
    <w:p w:rsidR="00A94A79" w:rsidRPr="000E7AC0" w:rsidRDefault="00A94A79" w:rsidP="00A94A79">
      <w:pPr>
        <w:pStyle w:val="Default"/>
        <w:spacing w:after="35"/>
        <w:jc w:val="both"/>
      </w:pPr>
      <w:r w:rsidRPr="000E7AC0">
        <w:t xml:space="preserve">članka 236. (prijevara), članka 247. (prijevara u gospodarskom poslovanju), članka 256. (utaja poreza ili carine) i članka 258. (subvencijska prijevara) Kaznenog zakona; </w:t>
      </w:r>
    </w:p>
    <w:p w:rsidR="00A94A79" w:rsidRPr="000E7AC0" w:rsidRDefault="00A94A79" w:rsidP="00A94A79">
      <w:pPr>
        <w:pStyle w:val="Default"/>
        <w:jc w:val="both"/>
      </w:pPr>
      <w:r w:rsidRPr="000E7AC0">
        <w:t xml:space="preserve">članka 224. (prijevara), članka 293. (prijevara u gospodarskom poslovanju) i članka 286. (utaja poreza i drugih davanja)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d) terorizam ili kaznena djela povezana s terorističkim aktivnostima, na temelju: </w:t>
      </w:r>
    </w:p>
    <w:p w:rsidR="00A94A79" w:rsidRPr="000E7AC0" w:rsidRDefault="00A94A79" w:rsidP="00A94A79">
      <w:pPr>
        <w:pStyle w:val="Default"/>
        <w:spacing w:after="35"/>
        <w:jc w:val="both"/>
      </w:pPr>
      <w:r w:rsidRPr="000E7AC0">
        <w:t>članka 97. (terorizam), članka 99. (javno poticanje na terorizam), članka 100. (nova</w:t>
      </w:r>
      <w:r w:rsidR="00534B1A" w:rsidRPr="000E7AC0">
        <w:t>č</w:t>
      </w:r>
      <w:r w:rsidRPr="000E7AC0">
        <w:t xml:space="preserve">enje za terorizam), </w:t>
      </w:r>
      <w:r w:rsidR="00534B1A" w:rsidRPr="000E7AC0">
        <w:t>č</w:t>
      </w:r>
      <w:r w:rsidRPr="000E7AC0">
        <w:t xml:space="preserve">lanka 101. (obuka za terorizam) i </w:t>
      </w:r>
      <w:r w:rsidR="00534B1A" w:rsidRPr="000E7AC0">
        <w:t>č</w:t>
      </w:r>
      <w:r w:rsidRPr="000E7AC0">
        <w:t>lanka 102. (teroristi</w:t>
      </w:r>
      <w:r w:rsidR="00534B1A" w:rsidRPr="000E7AC0">
        <w:t>č</w:t>
      </w:r>
      <w:r w:rsidRPr="000E7AC0">
        <w:t>ko udru</w:t>
      </w:r>
      <w:r w:rsidR="00534B1A" w:rsidRPr="000E7AC0">
        <w:t>ž</w:t>
      </w:r>
      <w:r w:rsidRPr="000E7AC0">
        <w:t xml:space="preserve">enje) Kaznenog zakona; </w:t>
      </w:r>
    </w:p>
    <w:p w:rsidR="00A94A79" w:rsidRPr="000E7AC0" w:rsidRDefault="00534B1A" w:rsidP="00A94A79">
      <w:pPr>
        <w:pStyle w:val="Default"/>
        <w:jc w:val="both"/>
      </w:pPr>
      <w:r w:rsidRPr="000E7AC0">
        <w:t>č</w:t>
      </w:r>
      <w:r w:rsidR="00A94A79" w:rsidRPr="000E7AC0">
        <w:t xml:space="preserve">lanka 169. (terorizam), </w:t>
      </w:r>
      <w:r w:rsidRPr="000E7AC0">
        <w:t>č</w:t>
      </w:r>
      <w:r w:rsidR="00A94A79" w:rsidRPr="000E7AC0">
        <w:t xml:space="preserve">lanka 169.a (javno poticanje na terorizam) i </w:t>
      </w:r>
      <w:r w:rsidRPr="000E7AC0">
        <w:t>č</w:t>
      </w:r>
      <w:r w:rsidR="00A94A79" w:rsidRPr="000E7AC0">
        <w:t>lanka 169.b (nova</w:t>
      </w:r>
      <w:r w:rsidRPr="000E7AC0">
        <w:t>č</w:t>
      </w:r>
      <w:r w:rsidR="00A94A79" w:rsidRPr="000E7AC0">
        <w:t xml:space="preserve">enje i obuka za terorizam)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e) pranje novca ili financiranje terorizma, na temelju: </w:t>
      </w:r>
    </w:p>
    <w:p w:rsidR="00A94A79" w:rsidRPr="000E7AC0" w:rsidRDefault="00534B1A" w:rsidP="00A94A79">
      <w:pPr>
        <w:pStyle w:val="Default"/>
        <w:spacing w:after="86"/>
        <w:jc w:val="both"/>
      </w:pPr>
      <w:r w:rsidRPr="000E7AC0">
        <w:t>č</w:t>
      </w:r>
      <w:r w:rsidR="00A94A79" w:rsidRPr="000E7AC0">
        <w:t xml:space="preserve">lanka 98. (financiranje terorizma) i </w:t>
      </w:r>
      <w:r w:rsidRPr="000E7AC0">
        <w:t>č</w:t>
      </w:r>
      <w:r w:rsidR="00A94A79" w:rsidRPr="000E7AC0">
        <w:t xml:space="preserve">lanka 265. (pranje novca) Kaznenog zakona; </w:t>
      </w:r>
    </w:p>
    <w:p w:rsidR="00A94A79" w:rsidRPr="000E7AC0" w:rsidRDefault="00534B1A" w:rsidP="00A94A79">
      <w:pPr>
        <w:pStyle w:val="Default"/>
        <w:jc w:val="both"/>
      </w:pPr>
      <w:r w:rsidRPr="000E7AC0">
        <w:t>č</w:t>
      </w:r>
      <w:r w:rsidR="00A94A79" w:rsidRPr="000E7AC0">
        <w:t xml:space="preserve">lanka 279. (pranje novca)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f) dje</w:t>
      </w:r>
      <w:r w:rsidR="00534B1A" w:rsidRPr="000E7AC0">
        <w:t>č</w:t>
      </w:r>
      <w:r w:rsidRPr="000E7AC0">
        <w:t xml:space="preserve">ji rad ili druge oblike trgovanja ljudima, na temelju: </w:t>
      </w:r>
    </w:p>
    <w:p w:rsidR="00A94A79" w:rsidRPr="000E7AC0" w:rsidRDefault="00534B1A" w:rsidP="00A94A79">
      <w:pPr>
        <w:pStyle w:val="Default"/>
        <w:spacing w:after="86"/>
        <w:jc w:val="both"/>
      </w:pPr>
      <w:r w:rsidRPr="000E7AC0">
        <w:t>č</w:t>
      </w:r>
      <w:r w:rsidR="00A94A79" w:rsidRPr="000E7AC0">
        <w:t xml:space="preserve">lanka 106. (trgovanje ljudima) Kaznenog zakona; </w:t>
      </w:r>
    </w:p>
    <w:p w:rsidR="00A94A79" w:rsidRPr="000E7AC0" w:rsidRDefault="00534B1A" w:rsidP="00A94A79">
      <w:pPr>
        <w:pStyle w:val="Default"/>
        <w:jc w:val="both"/>
      </w:pPr>
      <w:r w:rsidRPr="000E7AC0">
        <w:t>č</w:t>
      </w:r>
      <w:r w:rsidR="00A94A79" w:rsidRPr="000E7AC0">
        <w:t xml:space="preserve">lanka 175. (trgovanje ljudima i ropstvo) iz Kaznenog zakona (»Narodne novine«, br. 110/97., 27/98., 50/00., 129/00., 51/01., 111/03., 190/03., 105/04., 84/05., 71/06., 110/07., 152/08., 57/11., 77/11. i 143/12.). </w:t>
      </w:r>
    </w:p>
    <w:p w:rsidR="00A94A79" w:rsidRPr="000E7AC0" w:rsidRDefault="00A94A79" w:rsidP="00A94A79">
      <w:pPr>
        <w:pStyle w:val="Default"/>
        <w:jc w:val="both"/>
      </w:pPr>
    </w:p>
    <w:p w:rsidR="00534B1A" w:rsidRPr="000E7AC0" w:rsidRDefault="00A94A79" w:rsidP="00A94A79">
      <w:r w:rsidRPr="000E7AC0">
        <w:t>U __________________</w:t>
      </w:r>
      <w:r w:rsidR="00534B1A" w:rsidRPr="000E7AC0">
        <w:t xml:space="preserve">, ___________ 2017.godine </w:t>
      </w:r>
      <w:r w:rsidR="00EA0B0E">
        <w:t xml:space="preserve">                        </w:t>
      </w:r>
      <w:r w:rsidR="00534B1A" w:rsidRPr="000E7AC0">
        <w:t>M.P.</w:t>
      </w:r>
    </w:p>
    <w:p w:rsidR="00534B1A" w:rsidRPr="000E7AC0" w:rsidRDefault="00534B1A" w:rsidP="00A94A79"/>
    <w:p w:rsidR="00534B1A" w:rsidRPr="000E7AC0" w:rsidRDefault="00534B1A" w:rsidP="00A94A79"/>
    <w:p w:rsidR="00534B1A" w:rsidRPr="000E7AC0" w:rsidRDefault="00534B1A" w:rsidP="00A94A79"/>
    <w:p w:rsidR="00534B1A" w:rsidRPr="000E7AC0" w:rsidRDefault="00534B1A" w:rsidP="00A94A79"/>
    <w:p w:rsidR="000E7AC0" w:rsidRDefault="00A94A79" w:rsidP="00A94A79">
      <w:r w:rsidRPr="000E7AC0">
        <w:t xml:space="preserve">______________________________________ </w:t>
      </w:r>
    </w:p>
    <w:p w:rsidR="00540563" w:rsidRPr="000E7AC0" w:rsidRDefault="00A94A79" w:rsidP="00A94A79">
      <w:pPr>
        <w:rPr>
          <w:b/>
          <w:lang w:val="pl-PL"/>
        </w:rPr>
      </w:pPr>
      <w:r w:rsidRPr="000E7AC0">
        <w:t>(Ime i prezime,</w:t>
      </w:r>
      <w:r w:rsidR="00EA0B0E">
        <w:t xml:space="preserve"> </w:t>
      </w:r>
      <w:r w:rsidRPr="000E7AC0">
        <w:t>funkcija i potpis ovlaštene osobe)</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732036" w:rsidRPr="00EA0B0E" w:rsidRDefault="00732036" w:rsidP="00EA0B0E">
      <w:pPr>
        <w:pStyle w:val="Default"/>
        <w:rPr>
          <w:b/>
        </w:rPr>
      </w:pPr>
      <w:r w:rsidRPr="00EA0B0E">
        <w:rPr>
          <w:b/>
          <w:bCs/>
        </w:rPr>
        <w:t xml:space="preserve">Dodatak I. Ponudbenom listu </w:t>
      </w:r>
    </w:p>
    <w:p w:rsidR="00EA0B0E" w:rsidRPr="00EA0B0E" w:rsidRDefault="00EA0B0E" w:rsidP="00732036">
      <w:pPr>
        <w:pStyle w:val="Default"/>
        <w:rPr>
          <w:bCs/>
        </w:rPr>
      </w:pPr>
    </w:p>
    <w:p w:rsidR="00732036" w:rsidRPr="007F5981" w:rsidRDefault="00732036" w:rsidP="00732036">
      <w:pPr>
        <w:pStyle w:val="Default"/>
        <w:rPr>
          <w:b/>
        </w:rPr>
      </w:pPr>
      <w:r w:rsidRPr="007F5981">
        <w:rPr>
          <w:b/>
          <w:bCs/>
        </w:rPr>
        <w:t xml:space="preserve">PODACI O ČLANOVIMA ZAJEDNICE PONUDITELJA (priložiti samo u slučaju zajedničke ponude)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 xml:space="preserve">Gospodarski subjekt u sustavu PDV-a (zaokružiti): DA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 xml:space="preserve">atum:________________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t xml:space="preserve">IZJAVA PONUDITELJA O PRIHVAĆANJU OPĆIH I POSEBNIH UVJETA </w:t>
      </w:r>
    </w:p>
    <w:p w:rsidR="00DC2DC6" w:rsidRDefault="00DC2DC6"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4F7069" w:rsidRDefault="00732036" w:rsidP="00732036">
      <w:r w:rsidRPr="000E7AC0">
        <w:t>5. Izjavljujemo da prihvaćamo obvezu dostaviti kod sklapanja Ugovora o javnoj nabavi usluge jamstvo za uredno ispunjenje ugovora za slu</w:t>
      </w:r>
      <w:r w:rsidR="00DC2DC6">
        <w:t>č</w:t>
      </w:r>
      <w:r w:rsidRPr="000E7AC0">
        <w:t xml:space="preserve">aj povrede ugovornih obveza, u obliku zaduţnice na iznos 10% od ugovorne cijene bez PDV-a, s rokom vaţenja do dana izvršenja ugovora. </w:t>
      </w:r>
    </w:p>
    <w:p w:rsidR="00DC2DC6" w:rsidRDefault="00732036" w:rsidP="00732036">
      <w:r w:rsidRPr="000E7AC0">
        <w:t xml:space="preserve">____________________________ </w:t>
      </w:r>
    </w:p>
    <w:p w:rsidR="00540563" w:rsidRPr="000E7AC0" w:rsidRDefault="004F7069" w:rsidP="00732036">
      <w:pPr>
        <w:rPr>
          <w:b/>
          <w:lang w:val="pl-PL"/>
        </w:rPr>
      </w:pPr>
      <w:r>
        <w:t>p</w:t>
      </w:r>
      <w:r w:rsidR="00732036" w:rsidRPr="000E7AC0">
        <w:t>otpis i pe</w:t>
      </w:r>
      <w:r w:rsidR="007F745B" w:rsidRPr="000E7AC0">
        <w:t>č</w:t>
      </w:r>
      <w:r w:rsidR="00732036" w:rsidRPr="000E7AC0">
        <w:t>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34B1A" w:rsidRPr="000E7AC0" w:rsidRDefault="009724C4" w:rsidP="00622EB5">
      <w:pPr>
        <w:rPr>
          <w:b/>
          <w:lang w:val="pl-PL"/>
        </w:rPr>
      </w:pPr>
      <w:r w:rsidRPr="000E7AC0">
        <w:rPr>
          <w:b/>
          <w:lang w:val="pl-PL"/>
        </w:rPr>
        <w:t xml:space="preserve">               </w:t>
      </w: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Default="00534B1A" w:rsidP="00622EB5">
      <w:pPr>
        <w:rPr>
          <w:b/>
          <w:sz w:val="22"/>
          <w:szCs w:val="22"/>
          <w:lang w:val="pl-PL"/>
        </w:rPr>
      </w:pPr>
    </w:p>
    <w:p w:rsidR="00534B1A" w:rsidRDefault="00534B1A" w:rsidP="00622EB5">
      <w:pPr>
        <w:rPr>
          <w:b/>
          <w:sz w:val="22"/>
          <w:szCs w:val="22"/>
          <w:lang w:val="pl-PL"/>
        </w:rPr>
      </w:pPr>
    </w:p>
    <w:p w:rsidR="004E27E5" w:rsidRDefault="00DC2DC6" w:rsidP="00622EB5">
      <w:pPr>
        <w:rPr>
          <w:b/>
          <w:sz w:val="22"/>
          <w:szCs w:val="22"/>
          <w:lang w:val="pl-PL"/>
        </w:rPr>
      </w:pPr>
      <w:r>
        <w:rPr>
          <w:b/>
          <w:sz w:val="22"/>
          <w:szCs w:val="22"/>
          <w:lang w:val="pl-PL"/>
        </w:rPr>
        <w:t xml:space="preserve">  </w:t>
      </w:r>
      <w:r w:rsidR="00534B1A">
        <w:rPr>
          <w:b/>
          <w:sz w:val="22"/>
          <w:szCs w:val="22"/>
          <w:lang w:val="pl-PL"/>
        </w:rPr>
        <w:t xml:space="preserve">             </w:t>
      </w:r>
      <w:r w:rsidR="009724C4">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540563" w:rsidP="00622EB5">
      <w:pPr>
        <w:rPr>
          <w:b/>
          <w:sz w:val="22"/>
          <w:szCs w:val="22"/>
        </w:rPr>
      </w:pPr>
    </w:p>
    <w:tbl>
      <w:tblPr>
        <w:tblW w:w="11165" w:type="dxa"/>
        <w:tblInd w:w="-1026" w:type="dxa"/>
        <w:tblLook w:val="04A0" w:firstRow="1" w:lastRow="0" w:firstColumn="1" w:lastColumn="0" w:noHBand="0" w:noVBand="1"/>
      </w:tblPr>
      <w:tblGrid>
        <w:gridCol w:w="326"/>
        <w:gridCol w:w="326"/>
        <w:gridCol w:w="6301"/>
        <w:gridCol w:w="1276"/>
        <w:gridCol w:w="1127"/>
        <w:gridCol w:w="993"/>
        <w:gridCol w:w="816"/>
      </w:tblGrid>
      <w:tr w:rsidR="00534B1A" w:rsidTr="00534B1A">
        <w:trPr>
          <w:trHeight w:val="280"/>
        </w:trPr>
        <w:tc>
          <w:tcPr>
            <w:tcW w:w="326" w:type="dxa"/>
            <w:tcBorders>
              <w:top w:val="single" w:sz="4" w:space="0" w:color="auto"/>
              <w:left w:val="single" w:sz="4" w:space="0" w:color="auto"/>
              <w:bottom w:val="single" w:sz="4" w:space="0" w:color="auto"/>
              <w:right w:val="nil"/>
            </w:tcBorders>
            <w:shd w:val="clear" w:color="000000" w:fill="E3E3E3"/>
            <w:noWrap/>
            <w:hideMark/>
          </w:tcPr>
          <w:p w:rsidR="00534B1A" w:rsidRDefault="00534B1A">
            <w:pPr>
              <w:jc w:val="both"/>
              <w:rPr>
                <w:b/>
                <w:bCs/>
                <w:sz w:val="22"/>
                <w:szCs w:val="22"/>
              </w:rPr>
            </w:pPr>
            <w:bookmarkStart w:id="7" w:name="RANGE!A1:G106"/>
            <w:r>
              <w:rPr>
                <w:b/>
                <w:bCs/>
                <w:sz w:val="22"/>
                <w:szCs w:val="22"/>
              </w:rPr>
              <w:t>I</w:t>
            </w:r>
            <w:bookmarkEnd w:id="7"/>
          </w:p>
        </w:tc>
        <w:tc>
          <w:tcPr>
            <w:tcW w:w="326" w:type="dxa"/>
            <w:tcBorders>
              <w:top w:val="single" w:sz="4" w:space="0" w:color="auto"/>
              <w:left w:val="nil"/>
              <w:bottom w:val="single" w:sz="4" w:space="0" w:color="auto"/>
              <w:right w:val="nil"/>
            </w:tcBorders>
            <w:shd w:val="clear" w:color="000000" w:fill="E3E3E3"/>
            <w:noWrap/>
            <w:hideMark/>
          </w:tcPr>
          <w:p w:rsidR="00534B1A" w:rsidRDefault="00534B1A">
            <w:pPr>
              <w:jc w:val="both"/>
              <w:rPr>
                <w:b/>
                <w:bCs/>
                <w:sz w:val="22"/>
                <w:szCs w:val="22"/>
              </w:rPr>
            </w:pPr>
            <w:r>
              <w:rPr>
                <w:b/>
                <w:bCs/>
                <w:sz w:val="22"/>
                <w:szCs w:val="22"/>
              </w:rPr>
              <w:t> </w:t>
            </w:r>
          </w:p>
        </w:tc>
        <w:tc>
          <w:tcPr>
            <w:tcW w:w="6301" w:type="dxa"/>
            <w:tcBorders>
              <w:top w:val="single" w:sz="4" w:space="0" w:color="auto"/>
              <w:left w:val="nil"/>
              <w:bottom w:val="single" w:sz="4" w:space="0" w:color="auto"/>
              <w:right w:val="nil"/>
            </w:tcBorders>
            <w:shd w:val="clear" w:color="000000" w:fill="E3E3E3"/>
            <w:hideMark/>
          </w:tcPr>
          <w:p w:rsidR="00534B1A" w:rsidRDefault="00534B1A">
            <w:pPr>
              <w:rPr>
                <w:b/>
                <w:bCs/>
                <w:sz w:val="22"/>
                <w:szCs w:val="22"/>
              </w:rPr>
            </w:pPr>
            <w:r>
              <w:rPr>
                <w:b/>
                <w:bCs/>
                <w:sz w:val="22"/>
                <w:szCs w:val="22"/>
              </w:rPr>
              <w:t>GRAĐEVINSKI</w:t>
            </w:r>
          </w:p>
        </w:tc>
        <w:tc>
          <w:tcPr>
            <w:tcW w:w="1276" w:type="dxa"/>
            <w:tcBorders>
              <w:top w:val="single" w:sz="4" w:space="0" w:color="auto"/>
              <w:left w:val="nil"/>
              <w:bottom w:val="single" w:sz="4" w:space="0" w:color="auto"/>
              <w:right w:val="nil"/>
            </w:tcBorders>
            <w:shd w:val="clear" w:color="000000" w:fill="E3E3E3"/>
            <w:noWrap/>
            <w:vAlign w:val="bottom"/>
            <w:hideMark/>
          </w:tcPr>
          <w:p w:rsidR="00534B1A" w:rsidRDefault="00534B1A">
            <w:pPr>
              <w:jc w:val="center"/>
              <w:rPr>
                <w:sz w:val="22"/>
                <w:szCs w:val="22"/>
              </w:rPr>
            </w:pPr>
            <w:r>
              <w:rPr>
                <w:sz w:val="22"/>
                <w:szCs w:val="22"/>
              </w:rPr>
              <w:t> </w:t>
            </w:r>
          </w:p>
        </w:tc>
        <w:tc>
          <w:tcPr>
            <w:tcW w:w="1127" w:type="dxa"/>
            <w:tcBorders>
              <w:top w:val="single" w:sz="4" w:space="0" w:color="auto"/>
              <w:left w:val="nil"/>
              <w:bottom w:val="single" w:sz="4" w:space="0" w:color="auto"/>
              <w:right w:val="nil"/>
            </w:tcBorders>
            <w:shd w:val="clear" w:color="000000" w:fill="E3E3E3"/>
            <w:noWrap/>
            <w:vAlign w:val="bottom"/>
            <w:hideMark/>
          </w:tcPr>
          <w:p w:rsidR="00534B1A" w:rsidRDefault="00534B1A">
            <w:pPr>
              <w:jc w:val="center"/>
              <w:rPr>
                <w:sz w:val="22"/>
                <w:szCs w:val="22"/>
              </w:rPr>
            </w:pPr>
            <w:r>
              <w:rPr>
                <w:sz w:val="22"/>
                <w:szCs w:val="22"/>
              </w:rPr>
              <w:t> </w:t>
            </w:r>
          </w:p>
        </w:tc>
        <w:tc>
          <w:tcPr>
            <w:tcW w:w="993" w:type="dxa"/>
            <w:tcBorders>
              <w:top w:val="single" w:sz="4" w:space="0" w:color="auto"/>
              <w:left w:val="nil"/>
              <w:bottom w:val="single" w:sz="4" w:space="0" w:color="auto"/>
              <w:right w:val="nil"/>
            </w:tcBorders>
            <w:shd w:val="clear" w:color="000000" w:fill="E3E3E3"/>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E3E3E3"/>
            <w:noWrap/>
            <w:vAlign w:val="bottom"/>
            <w:hideMark/>
          </w:tcPr>
          <w:p w:rsidR="00534B1A" w:rsidRDefault="00534B1A">
            <w:pPr>
              <w:jc w:val="center"/>
              <w:rPr>
                <w:sz w:val="20"/>
                <w:szCs w:val="20"/>
              </w:rPr>
            </w:pPr>
            <w:r>
              <w:rPr>
                <w:sz w:val="20"/>
                <w:szCs w:val="20"/>
              </w:rPr>
              <w:t> </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675"/>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r>
              <w:rPr>
                <w:b/>
                <w:bCs/>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C0C0C0"/>
            <w:noWrap/>
            <w:hideMark/>
          </w:tcPr>
          <w:p w:rsidR="00534B1A" w:rsidRDefault="00534B1A">
            <w:pPr>
              <w:rPr>
                <w:b/>
                <w:bCs/>
                <w:sz w:val="22"/>
                <w:szCs w:val="22"/>
              </w:rPr>
            </w:pPr>
            <w:r>
              <w:rPr>
                <w:b/>
                <w:bCs/>
                <w:sz w:val="22"/>
                <w:szCs w:val="22"/>
              </w:rPr>
              <w:t>PRIPREMNI RADOVI</w:t>
            </w:r>
          </w:p>
        </w:tc>
        <w:tc>
          <w:tcPr>
            <w:tcW w:w="127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w:t>
            </w:r>
            <w:r>
              <w:rPr>
                <w:sz w:val="22"/>
                <w:szCs w:val="22"/>
              </w:rPr>
              <w:br/>
              <w:t>mjere</w:t>
            </w:r>
          </w:p>
        </w:tc>
        <w:tc>
          <w:tcPr>
            <w:tcW w:w="1127"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2"/>
                <w:szCs w:val="22"/>
              </w:rPr>
            </w:pPr>
            <w:r>
              <w:rPr>
                <w:sz w:val="22"/>
                <w:szCs w:val="22"/>
              </w:rPr>
              <w:t>količina</w:t>
            </w:r>
          </w:p>
        </w:tc>
        <w:tc>
          <w:tcPr>
            <w:tcW w:w="993"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 cijena (kn)</w:t>
            </w:r>
          </w:p>
        </w:tc>
        <w:tc>
          <w:tcPr>
            <w:tcW w:w="81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0"/>
                <w:szCs w:val="20"/>
              </w:rPr>
            </w:pPr>
            <w:r>
              <w:rPr>
                <w:sz w:val="20"/>
                <w:szCs w:val="20"/>
              </w:rPr>
              <w:t>ukupno</w:t>
            </w:r>
            <w:r>
              <w:rPr>
                <w:sz w:val="20"/>
                <w:szCs w:val="20"/>
              </w:rPr>
              <w:br/>
              <w:t xml:space="preserve"> (kn)</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rPr>
                <w:b/>
                <w:b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40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 xml:space="preserve">Iskolčenje i održavanje trase. </w:t>
            </w:r>
            <w:r>
              <w:rPr>
                <w:sz w:val="22"/>
                <w:szCs w:val="22"/>
              </w:rPr>
              <w:t>Sva geodetska mjerenja kojima se podaci iz projekta prenose na teren, osiguranje iskolčenja osi te poligonskih točaka. Postavljanje profila na terenu prema projektiranim poprečnim profilima ceste. Iskolčenje svih objekata na osnovi podataka iz projekta Neprestano održavanje i kontrola iskolčenja osi, trase i objekata za cijelo vrijeme građenja. Mjeri se i plaća po kilometru trase, priključnih cesta i objekata. Sve u skladu s točkom 1-02.OTU-a.</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r>
              <w:rPr>
                <w:sz w:val="22"/>
                <w:szCs w:val="22"/>
              </w:rPr>
              <w:t>80+95+25</w:t>
            </w: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32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1</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m</w:t>
            </w:r>
            <w:r>
              <w:rPr>
                <w:rFonts w:ascii="Times New Roman CE" w:hAnsi="Times New Roman CE"/>
                <w:sz w:val="22"/>
                <w:szCs w:val="22"/>
                <w:vertAlign w:val="superscript"/>
              </w:rPr>
              <w:t>1</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200,00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000000" w:fill="FFFFFF"/>
            <w:vAlign w:val="bottom"/>
            <w:hideMark/>
          </w:tcPr>
          <w:p w:rsidR="00534B1A" w:rsidRDefault="00534B1A">
            <w:pPr>
              <w:jc w:val="center"/>
              <w:rPr>
                <w:sz w:val="22"/>
                <w:szCs w:val="22"/>
              </w:rPr>
            </w:pPr>
            <w:r>
              <w:rPr>
                <w:sz w:val="22"/>
                <w:szCs w:val="22"/>
              </w:rPr>
              <w:t> </w:t>
            </w: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364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 xml:space="preserve">Osiguranje iskolčene osi, poligonih i visinskih točaka. </w:t>
            </w:r>
            <w:r>
              <w:rPr>
                <w:sz w:val="22"/>
                <w:szCs w:val="22"/>
              </w:rPr>
              <w:t>Osiguranje iskolčenja osi te poligonskih točaka i repera na dovoljnoj udaljenosti od ruba iskopa ili nasipa, obnavljanje i održavanje iskolčenih oznaka na terenu za cijelo vrijeme građenja, odnosno do predaje radova investitoru, s izradom skica i nacrta osiguranja, a mjeri se i plaća po kilometru trase i priključnih cesta. Izvedba, kontrola kakvoće i obračun prema Općim tehničkim uvjetima za radove na cestama, IGH 2001. (OTU), 1. Poglavlje, odredba 1-02.2.</w:t>
            </w:r>
          </w:p>
        </w:tc>
        <w:tc>
          <w:tcPr>
            <w:tcW w:w="1276" w:type="dxa"/>
            <w:tcBorders>
              <w:top w:val="nil"/>
              <w:left w:val="nil"/>
              <w:bottom w:val="nil"/>
              <w:right w:val="nil"/>
            </w:tcBorders>
            <w:shd w:val="clear" w:color="auto" w:fill="auto"/>
            <w:noWrap/>
            <w:vAlign w:val="bottom"/>
            <w:hideMark/>
          </w:tcPr>
          <w:p w:rsidR="00534B1A" w:rsidRDefault="00534B1A">
            <w:pPr>
              <w:jc w:val="center"/>
              <w:rPr>
                <w:sz w:val="18"/>
                <w:szCs w:val="18"/>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r>
              <w:rPr>
                <w:sz w:val="22"/>
                <w:szCs w:val="22"/>
              </w:rPr>
              <w:t>80+95+25</w:t>
            </w:r>
          </w:p>
        </w:tc>
        <w:tc>
          <w:tcPr>
            <w:tcW w:w="993" w:type="dxa"/>
            <w:tcBorders>
              <w:top w:val="nil"/>
              <w:left w:val="nil"/>
              <w:bottom w:val="nil"/>
              <w:right w:val="nil"/>
            </w:tcBorders>
            <w:shd w:val="clear" w:color="000000" w:fill="FFFFFF"/>
            <w:vAlign w:val="bottom"/>
            <w:hideMark/>
          </w:tcPr>
          <w:p w:rsidR="00534B1A" w:rsidRDefault="00534B1A">
            <w:pPr>
              <w:jc w:val="center"/>
              <w:rPr>
                <w:sz w:val="22"/>
                <w:szCs w:val="22"/>
              </w:rPr>
            </w:pPr>
            <w:r>
              <w:rPr>
                <w:sz w:val="22"/>
                <w:szCs w:val="22"/>
              </w:rPr>
              <w:t> </w:t>
            </w: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32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1</w:t>
            </w:r>
          </w:p>
        </w:tc>
        <w:tc>
          <w:tcPr>
            <w:tcW w:w="1276" w:type="dxa"/>
            <w:tcBorders>
              <w:top w:val="single" w:sz="4" w:space="0" w:color="auto"/>
              <w:left w:val="nil"/>
              <w:bottom w:val="single" w:sz="4" w:space="0" w:color="auto"/>
              <w:right w:val="single" w:sz="4" w:space="0" w:color="auto"/>
            </w:tcBorders>
            <w:shd w:val="clear" w:color="000000" w:fill="D8D8D8"/>
            <w:hideMark/>
          </w:tcPr>
          <w:p w:rsidR="00534B1A" w:rsidRDefault="00534B1A">
            <w:pPr>
              <w:jc w:val="center"/>
              <w:rPr>
                <w:sz w:val="22"/>
                <w:szCs w:val="22"/>
              </w:rPr>
            </w:pPr>
            <w:r>
              <w:rPr>
                <w:sz w:val="22"/>
                <w:szCs w:val="22"/>
              </w:rPr>
              <w:t>m</w:t>
            </w:r>
            <w:r>
              <w:rPr>
                <w:rFonts w:ascii="Times New Roman CE" w:hAnsi="Times New Roman CE"/>
                <w:sz w:val="22"/>
                <w:szCs w:val="22"/>
                <w:vertAlign w:val="superscript"/>
              </w:rPr>
              <w:t>1</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200,00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4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000000" w:fill="FFFFFF"/>
            <w:vAlign w:val="bottom"/>
            <w:hideMark/>
          </w:tcPr>
          <w:p w:rsidR="00534B1A" w:rsidRDefault="00534B1A">
            <w:pPr>
              <w:jc w:val="center"/>
              <w:rPr>
                <w:sz w:val="22"/>
                <w:szCs w:val="22"/>
              </w:rPr>
            </w:pPr>
            <w:r>
              <w:rPr>
                <w:sz w:val="22"/>
                <w:szCs w:val="22"/>
              </w:rPr>
              <w:t> </w:t>
            </w: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800"/>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3</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Snimanje i osiguranje profila nogostupa.</w:t>
            </w:r>
            <w:r>
              <w:rPr>
                <w:sz w:val="22"/>
                <w:szCs w:val="22"/>
              </w:rPr>
              <w:t xml:space="preserve"> Postavljanje profila na terenu prema projektiranim poprečnim profilima nogostupa ili zahtjevu nadzornog inženjera prije početka zemljanih radova u skladu s OTU, a mjeri se i plaća po kilometru trase i priključnih cesta. Izvedba, kontrola kakvoće i obračun prema Općim tehničkim uvjetima za radove na cestama, IGH 2001. (OTU), 1. Poglavlje, odredba 1-02.3.</w:t>
            </w:r>
          </w:p>
        </w:tc>
        <w:tc>
          <w:tcPr>
            <w:tcW w:w="1276" w:type="dxa"/>
            <w:tcBorders>
              <w:top w:val="nil"/>
              <w:left w:val="nil"/>
              <w:bottom w:val="nil"/>
              <w:right w:val="nil"/>
            </w:tcBorders>
            <w:shd w:val="clear" w:color="auto" w:fill="auto"/>
            <w:noWrap/>
            <w:vAlign w:val="bottom"/>
            <w:hideMark/>
          </w:tcPr>
          <w:p w:rsidR="00534B1A" w:rsidRDefault="00534B1A">
            <w:pPr>
              <w:jc w:val="center"/>
              <w:rPr>
                <w:rFonts w:ascii="Microsoft Sans Serif" w:hAnsi="Microsoft Sans Serif" w:cs="Microsoft Sans Serif"/>
                <w:sz w:val="18"/>
                <w:szCs w:val="18"/>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r>
              <w:rPr>
                <w:sz w:val="22"/>
                <w:szCs w:val="22"/>
              </w:rPr>
              <w:t>80+95+25</w:t>
            </w:r>
          </w:p>
        </w:tc>
        <w:tc>
          <w:tcPr>
            <w:tcW w:w="993" w:type="dxa"/>
            <w:tcBorders>
              <w:top w:val="nil"/>
              <w:left w:val="nil"/>
              <w:bottom w:val="nil"/>
              <w:right w:val="nil"/>
            </w:tcBorders>
            <w:shd w:val="clear" w:color="000000" w:fill="FFFFFF"/>
            <w:vAlign w:val="bottom"/>
            <w:hideMark/>
          </w:tcPr>
          <w:p w:rsidR="00534B1A" w:rsidRDefault="00534B1A">
            <w:pPr>
              <w:jc w:val="center"/>
              <w:rPr>
                <w:sz w:val="22"/>
                <w:szCs w:val="22"/>
              </w:rPr>
            </w:pPr>
            <w:r>
              <w:rPr>
                <w:sz w:val="22"/>
                <w:szCs w:val="22"/>
              </w:rPr>
              <w:t> </w:t>
            </w: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32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1</w:t>
            </w:r>
          </w:p>
        </w:tc>
        <w:tc>
          <w:tcPr>
            <w:tcW w:w="1276" w:type="dxa"/>
            <w:tcBorders>
              <w:top w:val="single" w:sz="4" w:space="0" w:color="auto"/>
              <w:left w:val="nil"/>
              <w:bottom w:val="single" w:sz="4" w:space="0" w:color="auto"/>
              <w:right w:val="single" w:sz="4" w:space="0" w:color="auto"/>
            </w:tcBorders>
            <w:shd w:val="clear" w:color="000000" w:fill="D8D8D8"/>
            <w:hideMark/>
          </w:tcPr>
          <w:p w:rsidR="00534B1A" w:rsidRDefault="00534B1A">
            <w:pPr>
              <w:jc w:val="center"/>
              <w:rPr>
                <w:sz w:val="22"/>
                <w:szCs w:val="22"/>
              </w:rPr>
            </w:pPr>
            <w:r>
              <w:rPr>
                <w:sz w:val="22"/>
                <w:szCs w:val="22"/>
              </w:rPr>
              <w:t>m</w:t>
            </w:r>
            <w:r>
              <w:rPr>
                <w:rFonts w:ascii="Times New Roman CE" w:hAnsi="Times New Roman CE"/>
                <w:sz w:val="22"/>
                <w:szCs w:val="22"/>
                <w:vertAlign w:val="superscript"/>
              </w:rPr>
              <w:t>1</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200,00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both"/>
              <w:rPr>
                <w:rFonts w:ascii="Times New Roman CE" w:hAnsi="Times New Roman CE"/>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b/>
                <w:bCs/>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615"/>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r>
              <w:rPr>
                <w:b/>
                <w:bCs/>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C0C0C0"/>
            <w:noWrap/>
            <w:hideMark/>
          </w:tcPr>
          <w:p w:rsidR="00534B1A" w:rsidRDefault="00534B1A">
            <w:pPr>
              <w:rPr>
                <w:b/>
                <w:bCs/>
                <w:sz w:val="22"/>
                <w:szCs w:val="22"/>
              </w:rPr>
            </w:pPr>
            <w:r>
              <w:rPr>
                <w:b/>
                <w:bCs/>
                <w:sz w:val="22"/>
                <w:szCs w:val="22"/>
              </w:rPr>
              <w:t>PRIPREMNI RADOVI</w:t>
            </w:r>
          </w:p>
        </w:tc>
        <w:tc>
          <w:tcPr>
            <w:tcW w:w="127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w:t>
            </w:r>
            <w:r>
              <w:rPr>
                <w:sz w:val="22"/>
                <w:szCs w:val="22"/>
              </w:rPr>
              <w:br w:type="page"/>
              <w:t>mjere</w:t>
            </w:r>
          </w:p>
        </w:tc>
        <w:tc>
          <w:tcPr>
            <w:tcW w:w="1127"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2"/>
                <w:szCs w:val="22"/>
              </w:rPr>
            </w:pPr>
            <w:r>
              <w:rPr>
                <w:sz w:val="22"/>
                <w:szCs w:val="22"/>
              </w:rPr>
              <w:t>količina</w:t>
            </w:r>
          </w:p>
        </w:tc>
        <w:tc>
          <w:tcPr>
            <w:tcW w:w="993"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 cijena (kn)</w:t>
            </w:r>
          </w:p>
        </w:tc>
        <w:tc>
          <w:tcPr>
            <w:tcW w:w="81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0"/>
                <w:szCs w:val="20"/>
              </w:rPr>
            </w:pPr>
            <w:r>
              <w:rPr>
                <w:sz w:val="20"/>
                <w:szCs w:val="20"/>
              </w:rPr>
              <w:t>ukupno</w:t>
            </w:r>
            <w:r>
              <w:rPr>
                <w:sz w:val="20"/>
                <w:szCs w:val="20"/>
              </w:rPr>
              <w:br w:type="page"/>
              <w:t xml:space="preserve"> (kn)</w:t>
            </w:r>
          </w:p>
        </w:tc>
      </w:tr>
      <w:tr w:rsidR="00534B1A" w:rsidTr="00534B1A">
        <w:trPr>
          <w:trHeight w:val="210"/>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6301" w:type="dxa"/>
            <w:tcBorders>
              <w:top w:val="nil"/>
              <w:left w:val="nil"/>
              <w:bottom w:val="nil"/>
              <w:right w:val="nil"/>
            </w:tcBorders>
            <w:shd w:val="clear" w:color="auto" w:fill="auto"/>
            <w:noWrap/>
            <w:hideMark/>
          </w:tcPr>
          <w:p w:rsidR="00534B1A" w:rsidRDefault="00534B1A">
            <w:pPr>
              <w:rPr>
                <w:b/>
                <w:bCs/>
                <w:color w:val="FF0000"/>
                <w:sz w:val="22"/>
                <w:szCs w:val="22"/>
              </w:rPr>
            </w:pPr>
            <w:r>
              <w:rPr>
                <w:b/>
                <w:bCs/>
                <w:color w:val="FF0000"/>
                <w:sz w:val="22"/>
                <w:szCs w:val="22"/>
              </w:rPr>
              <w:t> </w:t>
            </w:r>
          </w:p>
        </w:tc>
        <w:tc>
          <w:tcPr>
            <w:tcW w:w="1276" w:type="dxa"/>
            <w:tcBorders>
              <w:top w:val="nil"/>
              <w:left w:val="nil"/>
              <w:bottom w:val="nil"/>
              <w:right w:val="nil"/>
            </w:tcBorders>
            <w:shd w:val="clear" w:color="auto" w:fill="auto"/>
            <w:hideMark/>
          </w:tcPr>
          <w:p w:rsidR="00534B1A" w:rsidRDefault="00534B1A">
            <w:pPr>
              <w:jc w:val="center"/>
              <w:rPr>
                <w:sz w:val="22"/>
                <w:szCs w:val="22"/>
              </w:rPr>
            </w:pPr>
          </w:p>
        </w:tc>
        <w:tc>
          <w:tcPr>
            <w:tcW w:w="1127" w:type="dxa"/>
            <w:tcBorders>
              <w:top w:val="nil"/>
              <w:left w:val="nil"/>
              <w:bottom w:val="nil"/>
              <w:right w:val="nil"/>
            </w:tcBorders>
            <w:shd w:val="clear" w:color="auto" w:fill="auto"/>
            <w:noWrap/>
            <w:hideMark/>
          </w:tcPr>
          <w:p w:rsidR="00534B1A" w:rsidRDefault="00534B1A">
            <w:pPr>
              <w:jc w:val="center"/>
              <w:rPr>
                <w:sz w:val="22"/>
                <w:szCs w:val="22"/>
              </w:rPr>
            </w:pPr>
          </w:p>
        </w:tc>
        <w:tc>
          <w:tcPr>
            <w:tcW w:w="993" w:type="dxa"/>
            <w:tcBorders>
              <w:top w:val="nil"/>
              <w:left w:val="nil"/>
              <w:bottom w:val="nil"/>
              <w:right w:val="nil"/>
            </w:tcBorders>
            <w:shd w:val="clear" w:color="auto" w:fill="auto"/>
            <w:hideMark/>
          </w:tcPr>
          <w:p w:rsidR="00534B1A" w:rsidRDefault="00534B1A">
            <w:pPr>
              <w:jc w:val="center"/>
              <w:rPr>
                <w:sz w:val="22"/>
                <w:szCs w:val="22"/>
              </w:rPr>
            </w:pPr>
          </w:p>
        </w:tc>
        <w:tc>
          <w:tcPr>
            <w:tcW w:w="816" w:type="dxa"/>
            <w:tcBorders>
              <w:top w:val="nil"/>
              <w:left w:val="nil"/>
              <w:bottom w:val="nil"/>
              <w:right w:val="nil"/>
            </w:tcBorders>
            <w:shd w:val="clear" w:color="auto" w:fill="auto"/>
            <w:hideMark/>
          </w:tcPr>
          <w:p w:rsidR="00534B1A" w:rsidRDefault="00534B1A">
            <w:pPr>
              <w:jc w:val="center"/>
              <w:rPr>
                <w:sz w:val="20"/>
                <w:szCs w:val="20"/>
              </w:rPr>
            </w:pPr>
          </w:p>
        </w:tc>
      </w:tr>
      <w:tr w:rsidR="00534B1A" w:rsidTr="00534B1A">
        <w:trPr>
          <w:trHeight w:val="2260"/>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4</w:t>
            </w:r>
          </w:p>
        </w:tc>
        <w:tc>
          <w:tcPr>
            <w:tcW w:w="6301" w:type="dxa"/>
            <w:tcBorders>
              <w:top w:val="single" w:sz="4" w:space="0" w:color="auto"/>
              <w:left w:val="single" w:sz="4" w:space="0" w:color="auto"/>
              <w:bottom w:val="single" w:sz="4" w:space="0" w:color="auto"/>
              <w:right w:val="single" w:sz="4" w:space="0" w:color="auto"/>
            </w:tcBorders>
            <w:shd w:val="clear" w:color="auto" w:fill="auto"/>
            <w:hideMark/>
          </w:tcPr>
          <w:p w:rsidR="00534B1A" w:rsidRDefault="00534B1A">
            <w:pPr>
              <w:jc w:val="both"/>
              <w:rPr>
                <w:b/>
                <w:bCs/>
                <w:sz w:val="22"/>
                <w:szCs w:val="22"/>
              </w:rPr>
            </w:pPr>
            <w:r>
              <w:rPr>
                <w:b/>
                <w:bCs/>
                <w:sz w:val="22"/>
                <w:szCs w:val="22"/>
              </w:rPr>
              <w:t>Izrada projekta privremene regulacije prometa.</w:t>
            </w:r>
            <w:r>
              <w:rPr>
                <w:b/>
                <w:bCs/>
              </w:rPr>
              <w:t xml:space="preserve"> </w:t>
            </w:r>
            <w:r>
              <w:rPr>
                <w:sz w:val="22"/>
                <w:szCs w:val="22"/>
              </w:rPr>
              <w:t>Za nesmetano odvijanje prometa potrebno je prije početka radova izraditi projekt privremene regulacije prometa. Na taj je projekt potrebno ishoditi suglasnost nadležnih institucija. Obračunava se po kompletu cjelokupnog rješenja za sve eventualne faze izvođenja.</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both"/>
              <w:rPr>
                <w:sz w:val="20"/>
                <w:szCs w:val="20"/>
              </w:rPr>
            </w:pPr>
          </w:p>
        </w:tc>
      </w:tr>
      <w:tr w:rsidR="00534B1A" w:rsidTr="00534B1A">
        <w:trPr>
          <w:trHeight w:val="60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single" w:sz="4" w:space="0" w:color="auto"/>
              <w:bottom w:val="single" w:sz="4" w:space="0" w:color="auto"/>
              <w:right w:val="single" w:sz="4" w:space="0" w:color="auto"/>
            </w:tcBorders>
            <w:shd w:val="clear" w:color="000000" w:fill="D8D8D8"/>
            <w:hideMark/>
          </w:tcPr>
          <w:p w:rsidR="00534B1A" w:rsidRDefault="00534B1A">
            <w:pPr>
              <w:jc w:val="both"/>
              <w:rPr>
                <w:b/>
                <w:bCs/>
                <w:color w:val="FF0000"/>
                <w:sz w:val="22"/>
                <w:szCs w:val="22"/>
              </w:rPr>
            </w:pPr>
            <w:r>
              <w:rPr>
                <w:b/>
                <w:bCs/>
                <w:color w:val="FF0000"/>
                <w:sz w:val="22"/>
                <w:szCs w:val="22"/>
              </w:rPr>
              <w:t> </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komplet</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1</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rPr>
                <w:i/>
                <w:i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1680"/>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5</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Postavljanje privremene prometne signalizacije.</w:t>
            </w:r>
            <w:r>
              <w:rPr>
                <w:sz w:val="22"/>
                <w:szCs w:val="22"/>
              </w:rPr>
              <w:t xml:space="preserve"> </w:t>
            </w:r>
            <w:r>
              <w:rPr>
                <w:sz w:val="20"/>
                <w:szCs w:val="20"/>
              </w:rPr>
              <w:t>Stavka obuhvaća postavljanje svih znakova i opreme prema projektu privremene prometne regulacije. U cijenu je uključen sav potreban rad i materijal za postavljanje znakova, ali i za uklanjanje istih po završetku radova.</w:t>
            </w:r>
          </w:p>
        </w:tc>
        <w:tc>
          <w:tcPr>
            <w:tcW w:w="1276"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18"/>
                <w:szCs w:val="18"/>
              </w:rPr>
            </w:pPr>
          </w:p>
        </w:tc>
      </w:tr>
      <w:tr w:rsidR="00534B1A" w:rsidTr="00534B1A">
        <w:trPr>
          <w:trHeight w:val="34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0"/>
                <w:szCs w:val="20"/>
              </w:rPr>
            </w:pPr>
            <w:r>
              <w:rPr>
                <w:sz w:val="20"/>
                <w:szCs w:val="20"/>
              </w:rPr>
              <w:t>Obračun u paušalnom iznosu za cijelu dionicu</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paušal</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1,00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18"/>
                <w:szCs w:val="18"/>
              </w:rPr>
            </w:pPr>
            <w:r>
              <w:rPr>
                <w:sz w:val="18"/>
                <w:szCs w:val="18"/>
              </w:rPr>
              <w:t>0,00</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rPr>
                <w:i/>
                <w:i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98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6</w:t>
            </w:r>
          </w:p>
        </w:tc>
        <w:tc>
          <w:tcPr>
            <w:tcW w:w="6301" w:type="dxa"/>
            <w:tcBorders>
              <w:top w:val="single" w:sz="4" w:space="0" w:color="auto"/>
              <w:left w:val="single" w:sz="4" w:space="0" w:color="auto"/>
              <w:bottom w:val="single" w:sz="4" w:space="0" w:color="auto"/>
              <w:right w:val="single" w:sz="4" w:space="0" w:color="auto"/>
            </w:tcBorders>
            <w:shd w:val="clear" w:color="auto" w:fill="auto"/>
            <w:hideMark/>
          </w:tcPr>
          <w:p w:rsidR="00534B1A" w:rsidRDefault="00534B1A">
            <w:pPr>
              <w:jc w:val="both"/>
              <w:rPr>
                <w:sz w:val="22"/>
                <w:szCs w:val="22"/>
              </w:rPr>
            </w:pPr>
            <w:r>
              <w:rPr>
                <w:b/>
                <w:bCs/>
                <w:sz w:val="22"/>
                <w:szCs w:val="22"/>
              </w:rPr>
              <w:t xml:space="preserve">Lociranje i zaštita, te uklanjanje ili premještanje postojećih komunalnih instalacija </w:t>
            </w:r>
            <w:r>
              <w:rPr>
                <w:sz w:val="20"/>
                <w:szCs w:val="20"/>
              </w:rPr>
              <w:t xml:space="preserve">kao što su EKI kabel, tlačni cjevovod i  dr.  Radove obavljaju specijalizirane organizacije prema posebnim  uvjetima danim od strane nadležnih službi. </w:t>
            </w:r>
            <w:r>
              <w:rPr>
                <w:sz w:val="20"/>
                <w:szCs w:val="20"/>
              </w:rPr>
              <w:br/>
              <w:t>Obračun radova:</w:t>
            </w:r>
            <w:r>
              <w:rPr>
                <w:sz w:val="20"/>
                <w:szCs w:val="20"/>
              </w:rPr>
              <w:br/>
              <w:t>Plaća se na osnovi od strane nadzornog inženjera ovjerenih  količina obavljenih radova, prema troškovniku odgovarajuće specijalizirane ili komunalne radne organizacije.</w:t>
            </w:r>
          </w:p>
        </w:tc>
        <w:tc>
          <w:tcPr>
            <w:tcW w:w="1276"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36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paušalno</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paušal</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2"/>
                <w:szCs w:val="22"/>
              </w:rPr>
            </w:pPr>
            <w:r>
              <w:rPr>
                <w:sz w:val="22"/>
                <w:szCs w:val="22"/>
              </w:rPr>
              <w:t>1,00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1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rPr>
                <w:b/>
                <w:b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31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7</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Piljenje rezalicom postojećeg asfaltnog zastora</w:t>
            </w:r>
            <w:r>
              <w:rPr>
                <w:sz w:val="22"/>
                <w:szCs w:val="22"/>
              </w:rPr>
              <w:t xml:space="preserve"> cijelom dužinom dionice, na mjestu spoja sa projektiranim rigolom. Radovi se odnose na poprečne i uzdužne spojeve. Zarezane dijelove treba premazati odgovarajućom bitumenskom emulzijom radi povezivanja s novim asfaltnim zastorom. U jediničnu cijenu uključen sav potreban rad i materijal za izvedbu spoja sa postojećom prometnicom, uključujući i odvoz materijala na deponiju.</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90"/>
        </w:trPr>
        <w:tc>
          <w:tcPr>
            <w:tcW w:w="326" w:type="dxa"/>
            <w:tcBorders>
              <w:top w:val="nil"/>
              <w:left w:val="nil"/>
              <w:bottom w:val="nil"/>
              <w:right w:val="nil"/>
            </w:tcBorders>
            <w:shd w:val="clear" w:color="auto" w:fill="auto"/>
            <w:noWrap/>
            <w:vAlign w:val="center"/>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center"/>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vAlign w:val="center"/>
            <w:hideMark/>
          </w:tcPr>
          <w:p w:rsidR="00534B1A" w:rsidRDefault="00534B1A">
            <w:pPr>
              <w:rPr>
                <w:sz w:val="22"/>
                <w:szCs w:val="22"/>
              </w:rPr>
            </w:pPr>
            <w:r>
              <w:rPr>
                <w:sz w:val="22"/>
                <w:szCs w:val="22"/>
              </w:rPr>
              <w:t>Obračun po m'</w:t>
            </w:r>
            <w:r>
              <w:rPr>
                <w:sz w:val="22"/>
                <w:szCs w:val="22"/>
                <w:vertAlign w:val="superscript"/>
              </w:rPr>
              <w:t xml:space="preserve"> </w:t>
            </w:r>
            <w:r>
              <w:rPr>
                <w:sz w:val="22"/>
                <w:szCs w:val="22"/>
              </w:rPr>
              <w:t>rezanog asfalta</w:t>
            </w:r>
          </w:p>
        </w:tc>
        <w:tc>
          <w:tcPr>
            <w:tcW w:w="1276" w:type="dxa"/>
            <w:tcBorders>
              <w:top w:val="single" w:sz="4" w:space="0" w:color="auto"/>
              <w:left w:val="nil"/>
              <w:bottom w:val="single" w:sz="4" w:space="0" w:color="auto"/>
              <w:right w:val="single" w:sz="4" w:space="0" w:color="auto"/>
            </w:tcBorders>
            <w:shd w:val="clear" w:color="000000" w:fill="D8D8D8"/>
            <w:noWrap/>
            <w:vAlign w:val="center"/>
            <w:hideMark/>
          </w:tcPr>
          <w:p w:rsidR="00534B1A" w:rsidRDefault="00534B1A">
            <w:pPr>
              <w:jc w:val="center"/>
              <w:rPr>
                <w:sz w:val="22"/>
                <w:szCs w:val="22"/>
              </w:rPr>
            </w:pPr>
            <w:r>
              <w:rPr>
                <w:sz w:val="22"/>
                <w:szCs w:val="22"/>
              </w:rPr>
              <w:t>m</w:t>
            </w:r>
            <w:r>
              <w:rPr>
                <w:sz w:val="22"/>
                <w:szCs w:val="22"/>
                <w:vertAlign w:val="superscript"/>
              </w:rPr>
              <w:t>1</w:t>
            </w:r>
          </w:p>
        </w:tc>
        <w:tc>
          <w:tcPr>
            <w:tcW w:w="1127" w:type="dxa"/>
            <w:tcBorders>
              <w:top w:val="single" w:sz="4" w:space="0" w:color="auto"/>
              <w:left w:val="nil"/>
              <w:bottom w:val="single" w:sz="4" w:space="0" w:color="auto"/>
              <w:right w:val="single" w:sz="4" w:space="0" w:color="auto"/>
            </w:tcBorders>
            <w:shd w:val="clear" w:color="000000" w:fill="D8D8D8"/>
            <w:noWrap/>
            <w:vAlign w:val="center"/>
            <w:hideMark/>
          </w:tcPr>
          <w:p w:rsidR="00534B1A" w:rsidRDefault="00534B1A">
            <w:pPr>
              <w:jc w:val="center"/>
              <w:rPr>
                <w:sz w:val="22"/>
                <w:szCs w:val="22"/>
              </w:rPr>
            </w:pPr>
            <w:r>
              <w:rPr>
                <w:sz w:val="22"/>
                <w:szCs w:val="22"/>
              </w:rPr>
              <w:t>25,00</w:t>
            </w:r>
          </w:p>
        </w:tc>
        <w:tc>
          <w:tcPr>
            <w:tcW w:w="993" w:type="dxa"/>
            <w:tcBorders>
              <w:top w:val="single" w:sz="4" w:space="0" w:color="auto"/>
              <w:left w:val="nil"/>
              <w:bottom w:val="single" w:sz="4" w:space="0" w:color="auto"/>
              <w:right w:val="single" w:sz="4" w:space="0" w:color="auto"/>
            </w:tcBorders>
            <w:shd w:val="clear" w:color="000000" w:fill="D8D8D8"/>
            <w:vAlign w:val="center"/>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center"/>
            <w:hideMark/>
          </w:tcPr>
          <w:p w:rsidR="00534B1A" w:rsidRDefault="00534B1A">
            <w:pPr>
              <w:jc w:val="right"/>
              <w:rPr>
                <w:sz w:val="20"/>
                <w:szCs w:val="20"/>
              </w:rPr>
            </w:pPr>
            <w:r>
              <w:rPr>
                <w:sz w:val="20"/>
                <w:szCs w:val="20"/>
              </w:rPr>
              <w:t>0,00</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rPr>
                <w:b/>
                <w:b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0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E3E3E3"/>
            <w:hideMark/>
          </w:tcPr>
          <w:p w:rsidR="00534B1A" w:rsidRDefault="00534B1A">
            <w:pPr>
              <w:jc w:val="right"/>
              <w:rPr>
                <w:b/>
                <w:bCs/>
                <w:sz w:val="22"/>
                <w:szCs w:val="22"/>
              </w:rPr>
            </w:pPr>
            <w:r>
              <w:rPr>
                <w:b/>
                <w:bCs/>
                <w:sz w:val="22"/>
                <w:szCs w:val="22"/>
              </w:rPr>
              <w:t>ukupno (kn):</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40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rPr>
                <w:b/>
                <w:b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705"/>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r>
              <w:rPr>
                <w:b/>
                <w:bCs/>
                <w:sz w:val="22"/>
                <w:szCs w:val="22"/>
              </w:rPr>
              <w:t>2</w:t>
            </w: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C0C0C0"/>
            <w:noWrap/>
            <w:hideMark/>
          </w:tcPr>
          <w:p w:rsidR="00534B1A" w:rsidRDefault="00534B1A">
            <w:pPr>
              <w:rPr>
                <w:b/>
                <w:bCs/>
                <w:sz w:val="22"/>
                <w:szCs w:val="22"/>
              </w:rPr>
            </w:pPr>
            <w:r>
              <w:rPr>
                <w:b/>
                <w:bCs/>
                <w:sz w:val="22"/>
                <w:szCs w:val="22"/>
              </w:rPr>
              <w:t>ZEMLJANI RADOVI</w:t>
            </w:r>
          </w:p>
        </w:tc>
        <w:tc>
          <w:tcPr>
            <w:tcW w:w="127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w:t>
            </w:r>
            <w:r>
              <w:rPr>
                <w:sz w:val="22"/>
                <w:szCs w:val="22"/>
              </w:rPr>
              <w:br/>
              <w:t>mjere</w:t>
            </w:r>
          </w:p>
        </w:tc>
        <w:tc>
          <w:tcPr>
            <w:tcW w:w="1127"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2"/>
                <w:szCs w:val="22"/>
              </w:rPr>
            </w:pPr>
            <w:r>
              <w:rPr>
                <w:sz w:val="22"/>
                <w:szCs w:val="22"/>
              </w:rPr>
              <w:t>količina</w:t>
            </w:r>
          </w:p>
        </w:tc>
        <w:tc>
          <w:tcPr>
            <w:tcW w:w="993"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 cijena (kn)</w:t>
            </w:r>
          </w:p>
        </w:tc>
        <w:tc>
          <w:tcPr>
            <w:tcW w:w="816"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0"/>
                <w:szCs w:val="20"/>
              </w:rPr>
            </w:pPr>
            <w:r>
              <w:rPr>
                <w:sz w:val="20"/>
                <w:szCs w:val="20"/>
              </w:rPr>
              <w:t>ukupno (kn)</w:t>
            </w:r>
          </w:p>
        </w:tc>
      </w:tr>
      <w:tr w:rsidR="00534B1A" w:rsidTr="00534B1A">
        <w:trPr>
          <w:trHeight w:val="33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rPr>
                <w:b/>
                <w:b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5190"/>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Strojni  iskop bez obzira na kategoriju tla</w:t>
            </w:r>
            <w:r>
              <w:rPr>
                <w:sz w:val="22"/>
                <w:szCs w:val="22"/>
              </w:rPr>
              <w:t xml:space="preserve"> prema odredbama projekta prometnice s utovarom u prijevozno sredstvo i transportom na mjesto deponiranja (ili ugradnje). U cijenu je uključen iskop, utovar u transportno vozilo, prijevoz materijala na mjesto ugradnje na trasi i transport viška materijala (u koliko ga ima) na deponiju koju osigurava izvođač radova, priprema privremenih prometnica s održavanjem istih za cijelo vrijeme korištenja, te sanacija okoliša nakon dovršenja radova. Obračun se vrši po m</w:t>
            </w:r>
            <w:r>
              <w:rPr>
                <w:sz w:val="22"/>
                <w:szCs w:val="22"/>
                <w:vertAlign w:val="superscript"/>
              </w:rPr>
              <w:t>3</w:t>
            </w:r>
            <w:r>
              <w:rPr>
                <w:sz w:val="22"/>
                <w:szCs w:val="22"/>
              </w:rPr>
              <w:t xml:space="preserve"> stvarno izvršenog iskopa tla u sraslom stanju, bez obzira na kategoriju. Izvođač radova je dužan obići trasu ceste i upoznati se sa stanjem na terenu prije davanja ponude. Sve u skladu s točkom 2-02. OTU-a.</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435"/>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3</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m</w:t>
            </w:r>
            <w:r>
              <w:rPr>
                <w:sz w:val="22"/>
                <w:szCs w:val="22"/>
                <w:vertAlign w:val="superscript"/>
              </w:rPr>
              <w:t>3</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2"/>
                <w:szCs w:val="22"/>
              </w:rPr>
            </w:pPr>
            <w:r>
              <w:rPr>
                <w:sz w:val="22"/>
                <w:szCs w:val="22"/>
              </w:rPr>
              <w:t>25,00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9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single" w:sz="4" w:space="0" w:color="auto"/>
              <w:bottom w:val="nil"/>
              <w:right w:val="single" w:sz="4" w:space="0" w:color="auto"/>
            </w:tcBorders>
            <w:shd w:val="clear" w:color="auto" w:fill="auto"/>
            <w:hideMark/>
          </w:tcPr>
          <w:p w:rsidR="00534B1A" w:rsidRDefault="00534B1A">
            <w:pPr>
              <w:rPr>
                <w:color w:val="FF0000"/>
                <w:sz w:val="22"/>
                <w:szCs w:val="22"/>
              </w:rPr>
            </w:pPr>
            <w:r>
              <w:rPr>
                <w:color w:val="FF0000"/>
                <w:sz w:val="22"/>
                <w:szCs w:val="22"/>
              </w:rPr>
              <w:t> </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rFonts w:ascii="MS Sans Serif" w:hAnsi="MS Sans Serif"/>
                <w:sz w:val="20"/>
                <w:szCs w:val="20"/>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rPr>
                <w:rFonts w:ascii="Calibri" w:hAnsi="Calibri"/>
                <w:sz w:val="20"/>
                <w:szCs w:val="20"/>
              </w:rPr>
            </w:pPr>
          </w:p>
        </w:tc>
      </w:tr>
      <w:tr w:rsidR="00534B1A" w:rsidTr="00534B1A">
        <w:trPr>
          <w:trHeight w:val="3600"/>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6301" w:type="dxa"/>
            <w:tcBorders>
              <w:top w:val="single" w:sz="4" w:space="0" w:color="auto"/>
              <w:left w:val="single" w:sz="4" w:space="0" w:color="auto"/>
              <w:bottom w:val="single" w:sz="4" w:space="0" w:color="auto"/>
              <w:right w:val="single" w:sz="4" w:space="0" w:color="auto"/>
            </w:tcBorders>
            <w:shd w:val="clear" w:color="auto" w:fill="auto"/>
            <w:hideMark/>
          </w:tcPr>
          <w:p w:rsidR="00534B1A" w:rsidRDefault="00534B1A">
            <w:pPr>
              <w:jc w:val="both"/>
              <w:rPr>
                <w:b/>
                <w:bCs/>
                <w:sz w:val="22"/>
                <w:szCs w:val="22"/>
              </w:rPr>
            </w:pPr>
            <w:r>
              <w:rPr>
                <w:b/>
                <w:bCs/>
                <w:sz w:val="22"/>
                <w:szCs w:val="22"/>
              </w:rPr>
              <w:t>Izrada nasipa od miješanih materijala</w:t>
            </w:r>
            <w:r>
              <w:rPr>
                <w:sz w:val="22"/>
                <w:szCs w:val="22"/>
              </w:rPr>
              <w:t xml:space="preserve"> iz iskopa trase ili pozajmišta. Strojno nasipanje i razastiranje, prema potrebi vlaženje ili sušenje, planiranje nasipanih slojeva debljine i nagiba prema projektu odnosno utvrđenih pokusnom dionicom, te zbijanje s odgovarajućim sredstvima, a prema odredbama OTU. U cijenu je uključen sav rad i materijal, uovar i transport iz trase ili pozajmišta koje osigurava izvođač radova, te planiranje pokosa nasipa i čišćenje okoline. Sve u skladu s točkom 2-09. OTU-a.</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435"/>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3</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m</w:t>
            </w:r>
            <w:r>
              <w:rPr>
                <w:sz w:val="22"/>
                <w:szCs w:val="22"/>
                <w:vertAlign w:val="superscript"/>
              </w:rPr>
              <w:t>3</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20,00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435"/>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435"/>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840"/>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r>
              <w:rPr>
                <w:b/>
                <w:bCs/>
                <w:sz w:val="22"/>
                <w:szCs w:val="22"/>
              </w:rPr>
              <w:t>2</w:t>
            </w: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C0C0C0"/>
            <w:noWrap/>
            <w:hideMark/>
          </w:tcPr>
          <w:p w:rsidR="00534B1A" w:rsidRDefault="00534B1A">
            <w:pPr>
              <w:rPr>
                <w:b/>
                <w:bCs/>
                <w:sz w:val="22"/>
                <w:szCs w:val="22"/>
              </w:rPr>
            </w:pPr>
            <w:r>
              <w:rPr>
                <w:b/>
                <w:bCs/>
                <w:sz w:val="22"/>
                <w:szCs w:val="22"/>
              </w:rPr>
              <w:t>ZEMLJANI RADOVI</w:t>
            </w:r>
          </w:p>
        </w:tc>
        <w:tc>
          <w:tcPr>
            <w:tcW w:w="127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w:t>
            </w:r>
            <w:r>
              <w:rPr>
                <w:sz w:val="22"/>
                <w:szCs w:val="22"/>
              </w:rPr>
              <w:br/>
              <w:t>mjere</w:t>
            </w:r>
          </w:p>
        </w:tc>
        <w:tc>
          <w:tcPr>
            <w:tcW w:w="1127"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2"/>
                <w:szCs w:val="22"/>
              </w:rPr>
            </w:pPr>
            <w:r>
              <w:rPr>
                <w:sz w:val="22"/>
                <w:szCs w:val="22"/>
              </w:rPr>
              <w:t>količina</w:t>
            </w:r>
          </w:p>
        </w:tc>
        <w:tc>
          <w:tcPr>
            <w:tcW w:w="993"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 cijena (kn)</w:t>
            </w:r>
          </w:p>
        </w:tc>
        <w:tc>
          <w:tcPr>
            <w:tcW w:w="816"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0"/>
                <w:szCs w:val="20"/>
              </w:rPr>
            </w:pPr>
            <w:r>
              <w:rPr>
                <w:sz w:val="20"/>
                <w:szCs w:val="20"/>
              </w:rPr>
              <w:t>ukupno (kn)</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rPr>
                <w:b/>
                <w:bCs/>
                <w:color w:val="FF0000"/>
                <w:sz w:val="22"/>
                <w:szCs w:val="22"/>
              </w:rPr>
            </w:pPr>
            <w:r>
              <w:rPr>
                <w:b/>
                <w:bCs/>
                <w:color w:val="FF0000"/>
                <w:sz w:val="22"/>
                <w:szCs w:val="22"/>
              </w:rPr>
              <w:t> </w:t>
            </w:r>
          </w:p>
        </w:tc>
        <w:tc>
          <w:tcPr>
            <w:tcW w:w="1276" w:type="dxa"/>
            <w:tcBorders>
              <w:top w:val="nil"/>
              <w:left w:val="nil"/>
              <w:bottom w:val="nil"/>
              <w:right w:val="nil"/>
            </w:tcBorders>
            <w:shd w:val="clear" w:color="auto" w:fill="auto"/>
            <w:hideMark/>
          </w:tcPr>
          <w:p w:rsidR="00534B1A" w:rsidRDefault="00534B1A">
            <w:pPr>
              <w:jc w:val="center"/>
              <w:rPr>
                <w:sz w:val="22"/>
                <w:szCs w:val="22"/>
              </w:rPr>
            </w:pPr>
          </w:p>
        </w:tc>
        <w:tc>
          <w:tcPr>
            <w:tcW w:w="1127" w:type="dxa"/>
            <w:tcBorders>
              <w:top w:val="nil"/>
              <w:left w:val="nil"/>
              <w:bottom w:val="nil"/>
              <w:right w:val="nil"/>
            </w:tcBorders>
            <w:shd w:val="clear" w:color="auto" w:fill="auto"/>
            <w:noWrap/>
            <w:hideMark/>
          </w:tcPr>
          <w:p w:rsidR="00534B1A" w:rsidRDefault="00534B1A">
            <w:pPr>
              <w:jc w:val="center"/>
              <w:rPr>
                <w:sz w:val="22"/>
                <w:szCs w:val="22"/>
              </w:rPr>
            </w:pPr>
          </w:p>
        </w:tc>
        <w:tc>
          <w:tcPr>
            <w:tcW w:w="993" w:type="dxa"/>
            <w:tcBorders>
              <w:top w:val="nil"/>
              <w:left w:val="nil"/>
              <w:bottom w:val="nil"/>
              <w:right w:val="nil"/>
            </w:tcBorders>
            <w:shd w:val="clear" w:color="auto" w:fill="auto"/>
            <w:hideMark/>
          </w:tcPr>
          <w:p w:rsidR="00534B1A" w:rsidRDefault="00534B1A">
            <w:pPr>
              <w:jc w:val="center"/>
              <w:rPr>
                <w:sz w:val="22"/>
                <w:szCs w:val="22"/>
              </w:rPr>
            </w:pPr>
          </w:p>
        </w:tc>
        <w:tc>
          <w:tcPr>
            <w:tcW w:w="816" w:type="dxa"/>
            <w:tcBorders>
              <w:top w:val="nil"/>
              <w:left w:val="nil"/>
              <w:bottom w:val="nil"/>
              <w:right w:val="nil"/>
            </w:tcBorders>
            <w:shd w:val="clear" w:color="auto" w:fill="auto"/>
            <w:noWrap/>
            <w:hideMark/>
          </w:tcPr>
          <w:p w:rsidR="00534B1A" w:rsidRDefault="00534B1A">
            <w:pPr>
              <w:jc w:val="center"/>
              <w:rPr>
                <w:sz w:val="20"/>
                <w:szCs w:val="20"/>
              </w:rPr>
            </w:pPr>
          </w:p>
        </w:tc>
      </w:tr>
      <w:tr w:rsidR="00534B1A" w:rsidTr="00534B1A">
        <w:trPr>
          <w:trHeight w:val="2800"/>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3</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Uređenje temeljnog tla</w:t>
            </w:r>
            <w:r>
              <w:rPr>
                <w:sz w:val="22"/>
                <w:szCs w:val="22"/>
              </w:rPr>
              <w:t xml:space="preserve"> mehaničkim zbijanjem. U cijenu je uključeno prethodno čišćenje te planiranje i rad potreban za postizanje optimalne vlažnosti vezanih tala, vlaženjem ili rahljenjem i sušenjem. Kod sjenovitih tala u usjeku u cijenu je uključeno izravnanje sloja usitnjenog kamenog materijala debljine do</w:t>
            </w:r>
            <w:r>
              <w:rPr>
                <w:sz w:val="20"/>
                <w:szCs w:val="20"/>
              </w:rPr>
              <w:t xml:space="preserve"> 20</w:t>
            </w:r>
            <w:r>
              <w:rPr>
                <w:sz w:val="22"/>
                <w:szCs w:val="22"/>
              </w:rPr>
              <w:t xml:space="preserve"> cm sa zbijanjem. Sve u skladu s točkom 2-08. OTU-a.</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2"/>
                <w:szCs w:val="22"/>
              </w:rPr>
            </w:pPr>
          </w:p>
        </w:tc>
      </w:tr>
      <w:tr w:rsidR="00534B1A" w:rsidTr="00534B1A">
        <w:trPr>
          <w:trHeight w:val="32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E3E3E3"/>
            <w:hideMark/>
          </w:tcPr>
          <w:p w:rsidR="00534B1A" w:rsidRDefault="00534B1A">
            <w:pPr>
              <w:rPr>
                <w:sz w:val="22"/>
                <w:szCs w:val="22"/>
              </w:rPr>
            </w:pPr>
            <w:r>
              <w:rPr>
                <w:sz w:val="22"/>
                <w:szCs w:val="22"/>
              </w:rPr>
              <w:t>Obračun po m</w:t>
            </w:r>
            <w:r>
              <w:rPr>
                <w:sz w:val="22"/>
                <w:szCs w:val="22"/>
                <w:vertAlign w:val="superscript"/>
              </w:rPr>
              <w:t>2</w:t>
            </w:r>
          </w:p>
        </w:tc>
        <w:tc>
          <w:tcPr>
            <w:tcW w:w="1276" w:type="dxa"/>
            <w:tcBorders>
              <w:top w:val="single" w:sz="4" w:space="0" w:color="auto"/>
              <w:left w:val="nil"/>
              <w:bottom w:val="single" w:sz="4" w:space="0" w:color="auto"/>
              <w:right w:val="single" w:sz="4" w:space="0" w:color="auto"/>
            </w:tcBorders>
            <w:shd w:val="clear" w:color="000000" w:fill="E3E3E3"/>
            <w:noWrap/>
            <w:vAlign w:val="bottom"/>
            <w:hideMark/>
          </w:tcPr>
          <w:p w:rsidR="00534B1A" w:rsidRDefault="00534B1A">
            <w:pPr>
              <w:jc w:val="center"/>
              <w:rPr>
                <w:sz w:val="22"/>
                <w:szCs w:val="22"/>
              </w:rPr>
            </w:pPr>
            <w:r>
              <w:rPr>
                <w:sz w:val="22"/>
                <w:szCs w:val="22"/>
              </w:rPr>
              <w:t>m</w:t>
            </w:r>
            <w:r>
              <w:rPr>
                <w:sz w:val="22"/>
                <w:szCs w:val="22"/>
                <w:vertAlign w:val="superscript"/>
              </w:rPr>
              <w:t>2</w:t>
            </w:r>
          </w:p>
        </w:tc>
        <w:tc>
          <w:tcPr>
            <w:tcW w:w="1127" w:type="dxa"/>
            <w:tcBorders>
              <w:top w:val="single" w:sz="4" w:space="0" w:color="auto"/>
              <w:left w:val="nil"/>
              <w:bottom w:val="single" w:sz="4" w:space="0" w:color="auto"/>
              <w:right w:val="single" w:sz="4" w:space="0" w:color="auto"/>
            </w:tcBorders>
            <w:shd w:val="clear" w:color="000000" w:fill="E3E3E3"/>
            <w:noWrap/>
            <w:vAlign w:val="bottom"/>
            <w:hideMark/>
          </w:tcPr>
          <w:p w:rsidR="00534B1A" w:rsidRDefault="00534B1A">
            <w:pPr>
              <w:jc w:val="right"/>
              <w:rPr>
                <w:sz w:val="22"/>
                <w:szCs w:val="22"/>
              </w:rPr>
            </w:pPr>
            <w:r>
              <w:rPr>
                <w:sz w:val="22"/>
                <w:szCs w:val="22"/>
              </w:rPr>
              <w:t>485,00</w:t>
            </w:r>
          </w:p>
        </w:tc>
        <w:tc>
          <w:tcPr>
            <w:tcW w:w="993" w:type="dxa"/>
            <w:tcBorders>
              <w:top w:val="single" w:sz="4" w:space="0" w:color="auto"/>
              <w:left w:val="nil"/>
              <w:bottom w:val="single" w:sz="4" w:space="0" w:color="auto"/>
              <w:right w:val="single" w:sz="4" w:space="0" w:color="auto"/>
            </w:tcBorders>
            <w:shd w:val="clear" w:color="000000" w:fill="E3E3E3"/>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E3E3E3"/>
            <w:noWrap/>
            <w:vAlign w:val="bottom"/>
            <w:hideMark/>
          </w:tcPr>
          <w:p w:rsidR="00534B1A" w:rsidRDefault="00534B1A">
            <w:pPr>
              <w:jc w:val="right"/>
              <w:rPr>
                <w:sz w:val="22"/>
                <w:szCs w:val="22"/>
              </w:rPr>
            </w:pPr>
            <w:r>
              <w:rPr>
                <w:sz w:val="22"/>
                <w:szCs w:val="22"/>
              </w:rPr>
              <w:t>0,00</w:t>
            </w:r>
          </w:p>
        </w:tc>
      </w:tr>
      <w:tr w:rsidR="00534B1A" w:rsidTr="00534B1A">
        <w:trPr>
          <w:trHeight w:val="360"/>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single" w:sz="4" w:space="0" w:color="auto"/>
              <w:right w:val="nil"/>
            </w:tcBorders>
            <w:shd w:val="clear" w:color="auto" w:fill="auto"/>
            <w:noWrap/>
            <w:hideMark/>
          </w:tcPr>
          <w:p w:rsidR="00534B1A" w:rsidRDefault="00534B1A">
            <w:pPr>
              <w:rPr>
                <w:b/>
                <w:bCs/>
                <w:color w:val="FF0000"/>
                <w:sz w:val="22"/>
                <w:szCs w:val="22"/>
              </w:rPr>
            </w:pPr>
            <w:r>
              <w:rPr>
                <w:b/>
                <w:bCs/>
                <w:color w:val="FF0000"/>
                <w:sz w:val="22"/>
                <w:szCs w:val="22"/>
              </w:rPr>
              <w:t> </w:t>
            </w:r>
          </w:p>
        </w:tc>
        <w:tc>
          <w:tcPr>
            <w:tcW w:w="1276" w:type="dxa"/>
            <w:tcBorders>
              <w:top w:val="nil"/>
              <w:left w:val="nil"/>
              <w:bottom w:val="nil"/>
              <w:right w:val="nil"/>
            </w:tcBorders>
            <w:shd w:val="clear" w:color="auto" w:fill="auto"/>
            <w:hideMark/>
          </w:tcPr>
          <w:p w:rsidR="00534B1A" w:rsidRDefault="00534B1A">
            <w:pPr>
              <w:jc w:val="center"/>
              <w:rPr>
                <w:sz w:val="22"/>
                <w:szCs w:val="22"/>
              </w:rPr>
            </w:pPr>
          </w:p>
        </w:tc>
        <w:tc>
          <w:tcPr>
            <w:tcW w:w="1127" w:type="dxa"/>
            <w:tcBorders>
              <w:top w:val="nil"/>
              <w:left w:val="nil"/>
              <w:bottom w:val="nil"/>
              <w:right w:val="nil"/>
            </w:tcBorders>
            <w:shd w:val="clear" w:color="auto" w:fill="auto"/>
            <w:noWrap/>
            <w:hideMark/>
          </w:tcPr>
          <w:p w:rsidR="00534B1A" w:rsidRDefault="00534B1A">
            <w:pPr>
              <w:jc w:val="center"/>
              <w:rPr>
                <w:sz w:val="22"/>
                <w:szCs w:val="22"/>
              </w:rPr>
            </w:pPr>
          </w:p>
        </w:tc>
        <w:tc>
          <w:tcPr>
            <w:tcW w:w="993" w:type="dxa"/>
            <w:tcBorders>
              <w:top w:val="nil"/>
              <w:left w:val="nil"/>
              <w:bottom w:val="nil"/>
              <w:right w:val="nil"/>
            </w:tcBorders>
            <w:shd w:val="clear" w:color="auto" w:fill="auto"/>
            <w:hideMark/>
          </w:tcPr>
          <w:p w:rsidR="00534B1A" w:rsidRDefault="00534B1A">
            <w:pPr>
              <w:jc w:val="center"/>
              <w:rPr>
                <w:sz w:val="22"/>
                <w:szCs w:val="22"/>
              </w:rPr>
            </w:pPr>
          </w:p>
        </w:tc>
        <w:tc>
          <w:tcPr>
            <w:tcW w:w="816" w:type="dxa"/>
            <w:tcBorders>
              <w:top w:val="nil"/>
              <w:left w:val="nil"/>
              <w:bottom w:val="nil"/>
              <w:right w:val="nil"/>
            </w:tcBorders>
            <w:shd w:val="clear" w:color="auto" w:fill="auto"/>
            <w:noWrap/>
            <w:hideMark/>
          </w:tcPr>
          <w:p w:rsidR="00534B1A" w:rsidRDefault="00534B1A">
            <w:pPr>
              <w:jc w:val="center"/>
              <w:rPr>
                <w:sz w:val="20"/>
                <w:szCs w:val="20"/>
              </w:rPr>
            </w:pPr>
          </w:p>
        </w:tc>
      </w:tr>
      <w:tr w:rsidR="00534B1A" w:rsidTr="00534B1A">
        <w:trPr>
          <w:trHeight w:val="3390"/>
        </w:trPr>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sz w:val="22"/>
                <w:szCs w:val="22"/>
              </w:rPr>
            </w:pPr>
            <w:r>
              <w:rPr>
                <w:rFonts w:ascii="Times New Roman CE" w:hAnsi="Times New Roman CE"/>
                <w:sz w:val="22"/>
                <w:szCs w:val="22"/>
              </w:rPr>
              <w:t>2</w:t>
            </w:r>
          </w:p>
        </w:tc>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sz w:val="22"/>
                <w:szCs w:val="22"/>
              </w:rPr>
            </w:pPr>
            <w:r>
              <w:rPr>
                <w:rFonts w:ascii="Times New Roman CE" w:hAnsi="Times New Roman CE"/>
                <w:sz w:val="22"/>
                <w:szCs w:val="22"/>
              </w:rPr>
              <w:t>4</w:t>
            </w:r>
          </w:p>
        </w:tc>
        <w:tc>
          <w:tcPr>
            <w:tcW w:w="6301" w:type="dxa"/>
            <w:tcBorders>
              <w:top w:val="nil"/>
              <w:left w:val="single" w:sz="4" w:space="0" w:color="auto"/>
              <w:bottom w:val="single" w:sz="4" w:space="0" w:color="auto"/>
              <w:right w:val="single" w:sz="4" w:space="0" w:color="auto"/>
            </w:tcBorders>
            <w:shd w:val="clear" w:color="auto" w:fill="auto"/>
            <w:noWrap/>
            <w:hideMark/>
          </w:tcPr>
          <w:p w:rsidR="00534B1A" w:rsidRDefault="00534B1A">
            <w:pPr>
              <w:jc w:val="both"/>
              <w:rPr>
                <w:rFonts w:ascii="Times New Roman CE" w:hAnsi="Times New Roman CE"/>
                <w:sz w:val="22"/>
                <w:szCs w:val="22"/>
              </w:rPr>
            </w:pPr>
            <w:r>
              <w:rPr>
                <w:rFonts w:ascii="Times New Roman CE" w:hAnsi="Times New Roman CE"/>
                <w:b/>
                <w:bCs/>
                <w:sz w:val="22"/>
                <w:szCs w:val="22"/>
              </w:rPr>
              <w:t>Planiranje i valjanje posteljice od miješanih materijala</w:t>
            </w:r>
            <w:r>
              <w:rPr>
                <w:rFonts w:ascii="Times New Roman CE" w:hAnsi="Times New Roman CE"/>
                <w:sz w:val="22"/>
                <w:szCs w:val="22"/>
              </w:rPr>
              <w:t xml:space="preserve"> na površini gdje je potrebno, u dogovoru s nadzornim inženjerom. Neravnine zasjeći grejderom ili ručno, a udubine popuniti materijalom iz iskopa. Posteljica nakon valjanja treba imati projektom predviđene poprečne i uzdužne padove na točnost +/- 2 cm. Kriterij za ocjenu kvalitete posteljice od miješanih materijala su ovi: Sz = 100 %, Ms = 35 MN/m2. Sve u skladu s točkom 2.10.2. OTU-a.</w:t>
            </w:r>
          </w:p>
        </w:tc>
        <w:tc>
          <w:tcPr>
            <w:tcW w:w="1276" w:type="dxa"/>
            <w:tcBorders>
              <w:top w:val="nil"/>
              <w:left w:val="nil"/>
              <w:bottom w:val="nil"/>
              <w:right w:val="nil"/>
            </w:tcBorders>
            <w:shd w:val="clear" w:color="auto" w:fill="auto"/>
            <w:vAlign w:val="bottom"/>
            <w:hideMark/>
          </w:tcPr>
          <w:p w:rsidR="00534B1A" w:rsidRDefault="00534B1A">
            <w:pPr>
              <w:jc w:val="center"/>
              <w:rPr>
                <w:rFonts w:ascii="Times New Roman CE" w:hAnsi="Times New Roman CE"/>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rFonts w:ascii="Times New Roman CE" w:hAnsi="Times New Roman CE"/>
                <w:color w:val="FF0000"/>
                <w:sz w:val="22"/>
                <w:szCs w:val="22"/>
              </w:rPr>
            </w:pPr>
          </w:p>
        </w:tc>
        <w:tc>
          <w:tcPr>
            <w:tcW w:w="993" w:type="dxa"/>
            <w:tcBorders>
              <w:top w:val="nil"/>
              <w:left w:val="nil"/>
              <w:bottom w:val="nil"/>
              <w:right w:val="nil"/>
            </w:tcBorders>
            <w:shd w:val="clear" w:color="auto" w:fill="auto"/>
            <w:noWrap/>
            <w:vAlign w:val="bottom"/>
            <w:hideMark/>
          </w:tcPr>
          <w:p w:rsidR="00534B1A" w:rsidRDefault="00534B1A">
            <w:pPr>
              <w:jc w:val="right"/>
              <w:rPr>
                <w:rFonts w:ascii="Times New Roman CE" w:hAnsi="Times New Roman CE"/>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rFonts w:ascii="Times New Roman CE" w:hAnsi="Times New Roman CE"/>
                <w:sz w:val="20"/>
                <w:szCs w:val="20"/>
              </w:rPr>
            </w:pPr>
          </w:p>
        </w:tc>
      </w:tr>
      <w:tr w:rsidR="00534B1A" w:rsidTr="00534B1A">
        <w:trPr>
          <w:trHeight w:val="390"/>
        </w:trPr>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sz w:val="22"/>
                <w:szCs w:val="22"/>
              </w:rPr>
            </w:pPr>
          </w:p>
        </w:tc>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sz w:val="22"/>
                <w:szCs w:val="22"/>
              </w:rPr>
            </w:pPr>
          </w:p>
        </w:tc>
        <w:tc>
          <w:tcPr>
            <w:tcW w:w="6301" w:type="dxa"/>
            <w:tcBorders>
              <w:top w:val="nil"/>
              <w:left w:val="single" w:sz="4" w:space="0" w:color="auto"/>
              <w:bottom w:val="single" w:sz="4" w:space="0" w:color="auto"/>
              <w:right w:val="single" w:sz="4" w:space="0" w:color="auto"/>
            </w:tcBorders>
            <w:shd w:val="clear" w:color="000000" w:fill="D8D8D8"/>
            <w:noWrap/>
            <w:hideMark/>
          </w:tcPr>
          <w:p w:rsidR="00534B1A" w:rsidRDefault="00534B1A">
            <w:pPr>
              <w:jc w:val="both"/>
              <w:rPr>
                <w:rFonts w:ascii="Times New Roman CE" w:hAnsi="Times New Roman CE"/>
                <w:sz w:val="22"/>
                <w:szCs w:val="22"/>
              </w:rPr>
            </w:pPr>
            <w:r>
              <w:rPr>
                <w:rFonts w:ascii="Times New Roman CE" w:hAnsi="Times New Roman CE"/>
                <w:sz w:val="22"/>
                <w:szCs w:val="22"/>
              </w:rPr>
              <w:t>Obračun po m</w:t>
            </w:r>
            <w:r>
              <w:rPr>
                <w:rFonts w:ascii="Times New Roman CE" w:hAnsi="Times New Roman CE"/>
                <w:sz w:val="22"/>
                <w:szCs w:val="22"/>
                <w:vertAlign w:val="superscript"/>
              </w:rPr>
              <w:t>2</w:t>
            </w:r>
            <w:r>
              <w:rPr>
                <w:sz w:val="22"/>
                <w:szCs w:val="22"/>
              </w:rPr>
              <w:t>.</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m</w:t>
            </w:r>
            <w:r>
              <w:rPr>
                <w:rFonts w:ascii="Times New Roman CE" w:hAnsi="Times New Roman CE"/>
                <w:sz w:val="22"/>
                <w:szCs w:val="22"/>
                <w:vertAlign w:val="superscript"/>
              </w:rPr>
              <w:t>2</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485,00</w:t>
            </w:r>
          </w:p>
        </w:tc>
        <w:tc>
          <w:tcPr>
            <w:tcW w:w="993"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rFonts w:ascii="Times New Roman CE" w:hAnsi="Times New Roman CE"/>
                <w:sz w:val="22"/>
                <w:szCs w:val="22"/>
              </w:rPr>
            </w:pPr>
            <w:r>
              <w:rPr>
                <w:rFonts w:ascii="Times New Roman CE" w:hAnsi="Times New Roman CE"/>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rFonts w:ascii="Times New Roman CE" w:hAnsi="Times New Roman CE"/>
                <w:sz w:val="20"/>
                <w:szCs w:val="20"/>
              </w:rPr>
            </w:pPr>
            <w:r>
              <w:rPr>
                <w:rFonts w:ascii="Times New Roman CE" w:hAnsi="Times New Roman CE"/>
                <w:sz w:val="20"/>
                <w:szCs w:val="20"/>
              </w:rPr>
              <w:t>0,00</w:t>
            </w:r>
          </w:p>
        </w:tc>
      </w:tr>
      <w:tr w:rsidR="00534B1A" w:rsidTr="00534B1A">
        <w:trPr>
          <w:trHeight w:val="360"/>
        </w:trPr>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sz w:val="22"/>
                <w:szCs w:val="22"/>
              </w:rPr>
            </w:pPr>
          </w:p>
        </w:tc>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sz w:val="22"/>
                <w:szCs w:val="22"/>
              </w:rPr>
            </w:pPr>
          </w:p>
        </w:tc>
        <w:tc>
          <w:tcPr>
            <w:tcW w:w="6301" w:type="dxa"/>
            <w:tcBorders>
              <w:top w:val="nil"/>
              <w:left w:val="nil"/>
              <w:bottom w:val="nil"/>
              <w:right w:val="nil"/>
            </w:tcBorders>
            <w:shd w:val="clear" w:color="auto" w:fill="auto"/>
            <w:noWrap/>
            <w:hideMark/>
          </w:tcPr>
          <w:p w:rsidR="00534B1A" w:rsidRDefault="00534B1A">
            <w:pPr>
              <w:jc w:val="both"/>
              <w:rPr>
                <w:rFonts w:ascii="Times New Roman CE" w:hAnsi="Times New Roman CE"/>
                <w:color w:val="FF0000"/>
                <w:sz w:val="22"/>
                <w:szCs w:val="22"/>
              </w:rPr>
            </w:pPr>
          </w:p>
        </w:tc>
        <w:tc>
          <w:tcPr>
            <w:tcW w:w="1276" w:type="dxa"/>
            <w:tcBorders>
              <w:top w:val="nil"/>
              <w:left w:val="nil"/>
              <w:bottom w:val="nil"/>
              <w:right w:val="nil"/>
            </w:tcBorders>
            <w:shd w:val="clear" w:color="auto" w:fill="auto"/>
            <w:vAlign w:val="bottom"/>
            <w:hideMark/>
          </w:tcPr>
          <w:p w:rsidR="00534B1A" w:rsidRDefault="00534B1A">
            <w:pPr>
              <w:jc w:val="center"/>
              <w:rPr>
                <w:rFonts w:ascii="Times New Roman CE" w:hAnsi="Times New Roman CE"/>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rFonts w:ascii="Times New Roman CE" w:hAnsi="Times New Roman CE"/>
                <w:sz w:val="22"/>
                <w:szCs w:val="22"/>
              </w:rPr>
            </w:pPr>
          </w:p>
        </w:tc>
        <w:tc>
          <w:tcPr>
            <w:tcW w:w="993" w:type="dxa"/>
            <w:tcBorders>
              <w:top w:val="nil"/>
              <w:left w:val="nil"/>
              <w:bottom w:val="nil"/>
              <w:right w:val="nil"/>
            </w:tcBorders>
            <w:shd w:val="clear" w:color="auto" w:fill="auto"/>
            <w:noWrap/>
            <w:vAlign w:val="bottom"/>
            <w:hideMark/>
          </w:tcPr>
          <w:p w:rsidR="00534B1A" w:rsidRDefault="00534B1A">
            <w:pPr>
              <w:jc w:val="right"/>
              <w:rPr>
                <w:rFonts w:ascii="Times New Roman CE" w:hAnsi="Times New Roman CE"/>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rFonts w:ascii="Times New Roman CE" w:hAnsi="Times New Roman CE"/>
                <w:sz w:val="20"/>
                <w:szCs w:val="20"/>
              </w:rPr>
            </w:pPr>
          </w:p>
        </w:tc>
      </w:tr>
      <w:tr w:rsidR="00534B1A" w:rsidTr="00534B1A">
        <w:trPr>
          <w:trHeight w:val="2520"/>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5</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Izrada bankina širine 1,00 m od miješanog materijala</w:t>
            </w:r>
            <w:r>
              <w:rPr>
                <w:sz w:val="22"/>
                <w:szCs w:val="22"/>
              </w:rPr>
              <w:t>, na uredno izvedenu i preuzetu podlogu, širine prema projektu i debljine u zbijenom stanju prema projektu, a ovisno o debljini kolničke konstrukcije. U cijenu je uključena nabava i prijevoz, razastiranje, grubo i fino planiranje, te zbijanje do tražene zbijenosti, debljine sloja i nagiba prema projektu.</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2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2</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m</w:t>
            </w:r>
            <w:r>
              <w:rPr>
                <w:rFonts w:ascii="Times New Roman CE" w:hAnsi="Times New Roman CE"/>
                <w:sz w:val="22"/>
                <w:szCs w:val="22"/>
                <w:vertAlign w:val="superscript"/>
              </w:rPr>
              <w:t>2</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190,00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36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color w:val="FF0000"/>
                <w:sz w:val="22"/>
                <w:szCs w:val="22"/>
              </w:rPr>
            </w:pPr>
          </w:p>
        </w:tc>
        <w:tc>
          <w:tcPr>
            <w:tcW w:w="1276" w:type="dxa"/>
            <w:tcBorders>
              <w:top w:val="nil"/>
              <w:left w:val="nil"/>
              <w:bottom w:val="nil"/>
              <w:right w:val="nil"/>
            </w:tcBorders>
            <w:shd w:val="clear" w:color="auto" w:fill="auto"/>
            <w:vAlign w:val="bottom"/>
            <w:hideMark/>
          </w:tcPr>
          <w:p w:rsidR="00534B1A" w:rsidRDefault="00534B1A">
            <w:pPr>
              <w:jc w:val="center"/>
              <w:rPr>
                <w:rFonts w:ascii="Times New Roman CE" w:hAnsi="Times New Roman CE"/>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45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E3E3E3"/>
            <w:noWrap/>
            <w:hideMark/>
          </w:tcPr>
          <w:p w:rsidR="00534B1A" w:rsidRDefault="00534B1A">
            <w:pPr>
              <w:jc w:val="right"/>
              <w:rPr>
                <w:b/>
                <w:bCs/>
                <w:sz w:val="22"/>
                <w:szCs w:val="22"/>
              </w:rPr>
            </w:pPr>
            <w:r>
              <w:rPr>
                <w:b/>
                <w:bCs/>
                <w:sz w:val="22"/>
                <w:szCs w:val="22"/>
              </w:rPr>
              <w:t>ukupno (kn):</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45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jc w:val="right"/>
              <w:rPr>
                <w:b/>
                <w:bCs/>
                <w:sz w:val="22"/>
                <w:szCs w:val="22"/>
              </w:rPr>
            </w:pPr>
          </w:p>
          <w:p w:rsidR="007F5981" w:rsidRDefault="007F5981">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85"/>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noWrap/>
            <w:hideMark/>
          </w:tcPr>
          <w:p w:rsidR="00534B1A" w:rsidRDefault="00534B1A">
            <w:pPr>
              <w:jc w:val="right"/>
              <w:rPr>
                <w:b/>
                <w:b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705"/>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r>
              <w:rPr>
                <w:b/>
                <w:bCs/>
                <w:sz w:val="22"/>
                <w:szCs w:val="22"/>
              </w:rPr>
              <w:t>3</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C0C0C0"/>
            <w:hideMark/>
          </w:tcPr>
          <w:p w:rsidR="00534B1A" w:rsidRDefault="00534B1A">
            <w:pPr>
              <w:rPr>
                <w:b/>
                <w:bCs/>
                <w:sz w:val="22"/>
                <w:szCs w:val="22"/>
              </w:rPr>
            </w:pPr>
            <w:r>
              <w:rPr>
                <w:b/>
                <w:bCs/>
                <w:sz w:val="22"/>
                <w:szCs w:val="22"/>
              </w:rPr>
              <w:t>RADOVI NA KOLNIČKOJ KONSTRUKCIJI</w:t>
            </w:r>
          </w:p>
        </w:tc>
        <w:tc>
          <w:tcPr>
            <w:tcW w:w="127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w:t>
            </w:r>
            <w:r>
              <w:rPr>
                <w:sz w:val="22"/>
                <w:szCs w:val="22"/>
              </w:rPr>
              <w:br/>
              <w:t>mjere</w:t>
            </w:r>
          </w:p>
        </w:tc>
        <w:tc>
          <w:tcPr>
            <w:tcW w:w="1127"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2"/>
                <w:szCs w:val="22"/>
              </w:rPr>
            </w:pPr>
            <w:r>
              <w:rPr>
                <w:sz w:val="22"/>
                <w:szCs w:val="22"/>
              </w:rPr>
              <w:t>količina</w:t>
            </w:r>
          </w:p>
        </w:tc>
        <w:tc>
          <w:tcPr>
            <w:tcW w:w="993"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 cijena (kn)</w:t>
            </w:r>
          </w:p>
        </w:tc>
        <w:tc>
          <w:tcPr>
            <w:tcW w:w="81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0"/>
                <w:szCs w:val="20"/>
              </w:rPr>
            </w:pPr>
            <w:r>
              <w:rPr>
                <w:sz w:val="20"/>
                <w:szCs w:val="20"/>
              </w:rPr>
              <w:t xml:space="preserve">  ukupno </w:t>
            </w:r>
            <w:r>
              <w:rPr>
                <w:sz w:val="20"/>
                <w:szCs w:val="20"/>
              </w:rPr>
              <w:br/>
              <w:t>(kn)</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b/>
                <w:bCs/>
                <w:sz w:val="22"/>
                <w:szCs w:val="22"/>
              </w:rPr>
            </w:pPr>
          </w:p>
        </w:tc>
        <w:tc>
          <w:tcPr>
            <w:tcW w:w="1276" w:type="dxa"/>
            <w:tcBorders>
              <w:top w:val="nil"/>
              <w:left w:val="nil"/>
              <w:bottom w:val="nil"/>
              <w:right w:val="nil"/>
            </w:tcBorders>
            <w:shd w:val="clear" w:color="auto" w:fill="auto"/>
            <w:hideMark/>
          </w:tcPr>
          <w:p w:rsidR="00534B1A" w:rsidRDefault="00534B1A">
            <w:pPr>
              <w:jc w:val="center"/>
              <w:rPr>
                <w:sz w:val="22"/>
                <w:szCs w:val="22"/>
              </w:rPr>
            </w:pPr>
          </w:p>
        </w:tc>
        <w:tc>
          <w:tcPr>
            <w:tcW w:w="1127" w:type="dxa"/>
            <w:tcBorders>
              <w:top w:val="nil"/>
              <w:left w:val="nil"/>
              <w:bottom w:val="nil"/>
              <w:right w:val="nil"/>
            </w:tcBorders>
            <w:shd w:val="clear" w:color="auto" w:fill="auto"/>
            <w:noWrap/>
            <w:hideMark/>
          </w:tcPr>
          <w:p w:rsidR="00534B1A" w:rsidRDefault="00534B1A">
            <w:pPr>
              <w:jc w:val="center"/>
              <w:rPr>
                <w:sz w:val="22"/>
                <w:szCs w:val="22"/>
              </w:rPr>
            </w:pPr>
          </w:p>
        </w:tc>
        <w:tc>
          <w:tcPr>
            <w:tcW w:w="993" w:type="dxa"/>
            <w:tcBorders>
              <w:top w:val="nil"/>
              <w:left w:val="nil"/>
              <w:bottom w:val="nil"/>
              <w:right w:val="nil"/>
            </w:tcBorders>
            <w:shd w:val="clear" w:color="auto" w:fill="auto"/>
            <w:hideMark/>
          </w:tcPr>
          <w:p w:rsidR="00534B1A" w:rsidRDefault="00534B1A">
            <w:pPr>
              <w:jc w:val="center"/>
              <w:rPr>
                <w:sz w:val="22"/>
                <w:szCs w:val="22"/>
              </w:rPr>
            </w:pPr>
          </w:p>
        </w:tc>
        <w:tc>
          <w:tcPr>
            <w:tcW w:w="816" w:type="dxa"/>
            <w:tcBorders>
              <w:top w:val="nil"/>
              <w:left w:val="nil"/>
              <w:bottom w:val="nil"/>
              <w:right w:val="nil"/>
            </w:tcBorders>
            <w:shd w:val="clear" w:color="auto" w:fill="auto"/>
            <w:hideMark/>
          </w:tcPr>
          <w:p w:rsidR="00534B1A" w:rsidRDefault="00534B1A">
            <w:pPr>
              <w:jc w:val="center"/>
              <w:rPr>
                <w:sz w:val="20"/>
                <w:szCs w:val="20"/>
              </w:rPr>
            </w:pPr>
          </w:p>
        </w:tc>
      </w:tr>
      <w:tr w:rsidR="00534B1A" w:rsidTr="00534B1A">
        <w:trPr>
          <w:trHeight w:val="241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3</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 xml:space="preserve">Frezanje kolnika prosječne debljine </w:t>
            </w:r>
            <w:r>
              <w:rPr>
                <w:sz w:val="20"/>
                <w:szCs w:val="20"/>
              </w:rPr>
              <w:t>2-4</w:t>
            </w:r>
            <w:r>
              <w:rPr>
                <w:b/>
                <w:bCs/>
                <w:sz w:val="22"/>
                <w:szCs w:val="22"/>
              </w:rPr>
              <w:t xml:space="preserve"> cm: </w:t>
            </w:r>
            <w:r>
              <w:rPr>
                <w:b/>
                <w:bCs/>
                <w:sz w:val="22"/>
                <w:szCs w:val="22"/>
              </w:rPr>
              <w:br/>
            </w:r>
            <w:r>
              <w:rPr>
                <w:sz w:val="22"/>
                <w:szCs w:val="22"/>
              </w:rPr>
              <w:t>obuhvaća frezanje asfaltnog sloja i odvoz uklonjenog materijala na lokaciju koju određuje Naručitelj i njegovo deponiranje i čuvanje, prosječne udaljenosti 20 km te završno čišćenje kolnika od ostataka isfrezanog asfalta. Obračun po m2 frezane površine kolnika.</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2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2</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m</w:t>
            </w:r>
            <w:r>
              <w:rPr>
                <w:rFonts w:ascii="Times New Roman CE" w:hAnsi="Times New Roman CE"/>
                <w:sz w:val="22"/>
                <w:szCs w:val="22"/>
                <w:vertAlign w:val="superscript"/>
              </w:rPr>
              <w:t>2</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500,00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sz w:val="22"/>
                <w:szCs w:val="22"/>
              </w:rPr>
            </w:pPr>
          </w:p>
        </w:tc>
        <w:tc>
          <w:tcPr>
            <w:tcW w:w="1276" w:type="dxa"/>
            <w:tcBorders>
              <w:top w:val="nil"/>
              <w:left w:val="nil"/>
              <w:bottom w:val="nil"/>
              <w:right w:val="nil"/>
            </w:tcBorders>
            <w:shd w:val="clear" w:color="auto" w:fill="auto"/>
            <w:vAlign w:val="bottom"/>
            <w:hideMark/>
          </w:tcPr>
          <w:p w:rsidR="00534B1A" w:rsidRDefault="00534B1A">
            <w:pPr>
              <w:jc w:val="center"/>
              <w:rPr>
                <w:rFonts w:ascii="Times New Roman CE" w:hAnsi="Times New Roman CE"/>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41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3</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 xml:space="preserve">Popravak oštećenog kolnika strojnom ugradnjom asfaltbetona AC surf 11 (AG4M4) kao završnog sloja </w:t>
            </w:r>
            <w:r>
              <w:rPr>
                <w:b/>
                <w:bCs/>
                <w:sz w:val="22"/>
                <w:szCs w:val="22"/>
              </w:rPr>
              <w:br/>
            </w:r>
            <w:r>
              <w:rPr>
                <w:sz w:val="22"/>
                <w:szCs w:val="22"/>
              </w:rPr>
              <w:t>obuhvaća dobavu i ugradnju asfaltne mješavine AC 11 surf u završni sloj debljine 5 cm uz prethodno čišćenje kolnika i špricanje bitumenskom emulzijom.</w:t>
            </w:r>
            <w:r>
              <w:rPr>
                <w:sz w:val="22"/>
                <w:szCs w:val="22"/>
              </w:rPr>
              <w:br/>
              <w:t>Obračun po toni ugrađene mase.</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 xml:space="preserve">Obračun po </w:t>
            </w:r>
            <w:r>
              <w:rPr>
                <w:b/>
                <w:bCs/>
                <w:sz w:val="22"/>
                <w:szCs w:val="22"/>
              </w:rPr>
              <w:t>t</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t</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65,00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sz w:val="22"/>
                <w:szCs w:val="22"/>
              </w:rPr>
            </w:pPr>
          </w:p>
        </w:tc>
        <w:tc>
          <w:tcPr>
            <w:tcW w:w="1276" w:type="dxa"/>
            <w:tcBorders>
              <w:top w:val="nil"/>
              <w:left w:val="nil"/>
              <w:bottom w:val="nil"/>
              <w:right w:val="nil"/>
            </w:tcBorders>
            <w:shd w:val="clear" w:color="auto" w:fill="auto"/>
            <w:vAlign w:val="bottom"/>
            <w:hideMark/>
          </w:tcPr>
          <w:p w:rsidR="00534B1A" w:rsidRDefault="00534B1A">
            <w:pPr>
              <w:jc w:val="center"/>
              <w:rPr>
                <w:rFonts w:ascii="Times New Roman CE" w:hAnsi="Times New Roman CE"/>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74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3</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3</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 xml:space="preserve">Iskop, rušenje i uklanjanje </w:t>
            </w:r>
            <w:r>
              <w:rPr>
                <w:sz w:val="22"/>
                <w:szCs w:val="22"/>
              </w:rPr>
              <w:t>postojeće konstrukcije kolnika  s utovarom, prijevozom i troškovima deponiranja porušenog materijala. . Radovi obuhvaćaju i uređenje, čišćenje i planiranje iskopanih površina. Radove je potrebno vršiti pažljivo, po potrebi ručnim iskopom, kako bi se izbjeglo oštećivanje postojećih instalacija i objekata. Obračun je po m3.</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46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m3</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m3</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100,00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465"/>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7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sz w:val="22"/>
                <w:szCs w:val="22"/>
              </w:rPr>
            </w:pPr>
          </w:p>
          <w:p w:rsidR="007F5981" w:rsidRDefault="007F5981">
            <w:pPr>
              <w:rPr>
                <w:sz w:val="22"/>
                <w:szCs w:val="22"/>
              </w:rPr>
            </w:pPr>
          </w:p>
          <w:p w:rsidR="007F5981" w:rsidRDefault="007F5981">
            <w:pPr>
              <w:rPr>
                <w:sz w:val="22"/>
                <w:szCs w:val="22"/>
              </w:rPr>
            </w:pPr>
          </w:p>
          <w:p w:rsidR="007F5981" w:rsidRDefault="007F5981">
            <w:pPr>
              <w:rPr>
                <w:sz w:val="22"/>
                <w:szCs w:val="22"/>
              </w:rPr>
            </w:pPr>
          </w:p>
          <w:p w:rsidR="007F5981" w:rsidRDefault="007F5981">
            <w:pPr>
              <w:rPr>
                <w:sz w:val="22"/>
                <w:szCs w:val="22"/>
              </w:rPr>
            </w:pPr>
          </w:p>
          <w:p w:rsidR="007F5981" w:rsidRDefault="007F5981">
            <w:pPr>
              <w:rPr>
                <w:sz w:val="22"/>
                <w:szCs w:val="22"/>
              </w:rPr>
            </w:pPr>
          </w:p>
          <w:p w:rsidR="007F5981" w:rsidRDefault="007F5981">
            <w:pPr>
              <w:rPr>
                <w:sz w:val="22"/>
                <w:szCs w:val="22"/>
              </w:rPr>
            </w:pPr>
          </w:p>
          <w:p w:rsidR="007F5981" w:rsidRDefault="007F5981">
            <w:pPr>
              <w:rPr>
                <w:sz w:val="22"/>
                <w:szCs w:val="22"/>
              </w:rPr>
            </w:pPr>
          </w:p>
          <w:p w:rsidR="007F5981" w:rsidRDefault="007F5981">
            <w:pPr>
              <w:rPr>
                <w:sz w:val="22"/>
                <w:szCs w:val="22"/>
              </w:rPr>
            </w:pPr>
          </w:p>
          <w:p w:rsidR="007F5981" w:rsidRDefault="007F5981">
            <w:pPr>
              <w:rPr>
                <w:sz w:val="22"/>
                <w:szCs w:val="22"/>
              </w:rPr>
            </w:pPr>
          </w:p>
          <w:p w:rsidR="007F5981" w:rsidRDefault="007F5981">
            <w:pPr>
              <w:rPr>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705"/>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r>
              <w:rPr>
                <w:b/>
                <w:bCs/>
                <w:sz w:val="22"/>
                <w:szCs w:val="22"/>
              </w:rPr>
              <w:t>3</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C0C0C0"/>
            <w:hideMark/>
          </w:tcPr>
          <w:p w:rsidR="00534B1A" w:rsidRDefault="00534B1A">
            <w:pPr>
              <w:rPr>
                <w:b/>
                <w:bCs/>
                <w:sz w:val="22"/>
                <w:szCs w:val="22"/>
              </w:rPr>
            </w:pPr>
            <w:r>
              <w:rPr>
                <w:b/>
                <w:bCs/>
                <w:sz w:val="22"/>
                <w:szCs w:val="22"/>
              </w:rPr>
              <w:t>RADOVI NA KOLNIČKOJ KONSTRUKCIJI</w:t>
            </w:r>
          </w:p>
        </w:tc>
        <w:tc>
          <w:tcPr>
            <w:tcW w:w="127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w:t>
            </w:r>
            <w:r>
              <w:rPr>
                <w:sz w:val="22"/>
                <w:szCs w:val="22"/>
              </w:rPr>
              <w:br/>
              <w:t>mjere</w:t>
            </w:r>
          </w:p>
        </w:tc>
        <w:tc>
          <w:tcPr>
            <w:tcW w:w="1127"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2"/>
                <w:szCs w:val="22"/>
              </w:rPr>
            </w:pPr>
            <w:r>
              <w:rPr>
                <w:sz w:val="22"/>
                <w:szCs w:val="22"/>
              </w:rPr>
              <w:t>količina</w:t>
            </w:r>
          </w:p>
        </w:tc>
        <w:tc>
          <w:tcPr>
            <w:tcW w:w="993"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 cijena (kn)</w:t>
            </w:r>
          </w:p>
        </w:tc>
        <w:tc>
          <w:tcPr>
            <w:tcW w:w="81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0"/>
                <w:szCs w:val="20"/>
              </w:rPr>
            </w:pPr>
            <w:r>
              <w:rPr>
                <w:sz w:val="20"/>
                <w:szCs w:val="20"/>
              </w:rPr>
              <w:t xml:space="preserve">  ukupno </w:t>
            </w:r>
            <w:r>
              <w:rPr>
                <w:sz w:val="20"/>
                <w:szCs w:val="20"/>
              </w:rPr>
              <w:br/>
              <w:t>(kn)</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b/>
                <w:b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4050"/>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3</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4</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Strojna izrada nosivog sloja od zrnatog kamenog materijala</w:t>
            </w:r>
            <w:r>
              <w:rPr>
                <w:sz w:val="22"/>
                <w:szCs w:val="22"/>
              </w:rPr>
              <w:t xml:space="preserve"> , najvećeg zrna 63 mm bez veziva, debljine sloja 30,0 cm. U cijenu je uključena nabava kamenih prirodnih ili drobljenih zrnatih materijala kakvoće i granulacije prema zahtjevima projekta i OTU, utovar, prijevoz, i ugradnja (strojno razastiranje, planiranje i zbijanje do traženog modula stitljivosti ili stupnja zbijenosti) na uređenu i preuzetu podlogu. </w:t>
            </w:r>
            <w:r>
              <w:rPr>
                <w:sz w:val="20"/>
                <w:szCs w:val="20"/>
              </w:rPr>
              <w:t>Izvedba, kontrola kakvoće i obračun oprema Općim tehničkim uvjetima za radove na cestama, IGH 2001. (OTU), 1.i 5. Poglavlje; odredbe  5-01; 5-01.1 do 5-01.4.</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2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3</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m</w:t>
            </w:r>
            <w:r>
              <w:rPr>
                <w:sz w:val="22"/>
                <w:szCs w:val="22"/>
                <w:vertAlign w:val="superscript"/>
              </w:rPr>
              <w:t>3</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150,00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10"/>
        </w:trPr>
        <w:tc>
          <w:tcPr>
            <w:tcW w:w="326" w:type="dxa"/>
            <w:tcBorders>
              <w:top w:val="nil"/>
              <w:left w:val="nil"/>
              <w:bottom w:val="nil"/>
              <w:right w:val="nil"/>
            </w:tcBorders>
            <w:shd w:val="clear" w:color="auto" w:fill="auto"/>
            <w:noWrap/>
            <w:hideMark/>
          </w:tcPr>
          <w:p w:rsidR="00534B1A" w:rsidRDefault="00534B1A">
            <w:pPr>
              <w:jc w:val="both"/>
              <w:rPr>
                <w:rFonts w:ascii="Microsoft Sans Serif" w:hAnsi="Microsoft Sans Serif" w:cs="Microsoft Sans Serif"/>
                <w:b/>
                <w:bCs/>
                <w:sz w:val="18"/>
                <w:szCs w:val="18"/>
              </w:rPr>
            </w:pPr>
          </w:p>
        </w:tc>
        <w:tc>
          <w:tcPr>
            <w:tcW w:w="326" w:type="dxa"/>
            <w:tcBorders>
              <w:top w:val="nil"/>
              <w:left w:val="nil"/>
              <w:bottom w:val="nil"/>
              <w:right w:val="nil"/>
            </w:tcBorders>
            <w:shd w:val="clear" w:color="auto" w:fill="auto"/>
            <w:hideMark/>
          </w:tcPr>
          <w:p w:rsidR="00534B1A" w:rsidRDefault="00534B1A">
            <w:pPr>
              <w:rPr>
                <w:rFonts w:ascii="Microsoft Sans Serif" w:hAnsi="Microsoft Sans Serif" w:cs="Microsoft Sans Serif"/>
                <w:i/>
                <w:iCs/>
                <w:sz w:val="18"/>
                <w:szCs w:val="18"/>
              </w:rPr>
            </w:pPr>
          </w:p>
        </w:tc>
        <w:tc>
          <w:tcPr>
            <w:tcW w:w="6301" w:type="dxa"/>
            <w:tcBorders>
              <w:top w:val="nil"/>
              <w:left w:val="nil"/>
              <w:bottom w:val="nil"/>
              <w:right w:val="nil"/>
            </w:tcBorders>
            <w:shd w:val="clear" w:color="auto" w:fill="auto"/>
            <w:hideMark/>
          </w:tcPr>
          <w:p w:rsidR="00534B1A" w:rsidRDefault="00534B1A">
            <w:pPr>
              <w:rPr>
                <w:rFonts w:ascii="Microsoft Sans Serif" w:hAnsi="Microsoft Sans Serif" w:cs="Microsoft Sans Serif"/>
                <w:i/>
                <w:iCs/>
                <w:color w:val="FF0000"/>
                <w:sz w:val="18"/>
                <w:szCs w:val="18"/>
              </w:rPr>
            </w:pPr>
          </w:p>
        </w:tc>
        <w:tc>
          <w:tcPr>
            <w:tcW w:w="1276" w:type="dxa"/>
            <w:tcBorders>
              <w:top w:val="nil"/>
              <w:left w:val="nil"/>
              <w:bottom w:val="nil"/>
              <w:right w:val="nil"/>
            </w:tcBorders>
            <w:shd w:val="clear" w:color="auto" w:fill="auto"/>
            <w:noWrap/>
            <w:vAlign w:val="bottom"/>
            <w:hideMark/>
          </w:tcPr>
          <w:p w:rsidR="00534B1A" w:rsidRDefault="00534B1A">
            <w:pPr>
              <w:jc w:val="right"/>
              <w:rPr>
                <w:rFonts w:ascii="Microsoft Sans Serif" w:hAnsi="Microsoft Sans Serif" w:cs="Microsoft Sans Serif"/>
                <w:sz w:val="18"/>
                <w:szCs w:val="18"/>
              </w:rPr>
            </w:pPr>
          </w:p>
        </w:tc>
        <w:tc>
          <w:tcPr>
            <w:tcW w:w="1127" w:type="dxa"/>
            <w:tcBorders>
              <w:top w:val="nil"/>
              <w:left w:val="nil"/>
              <w:bottom w:val="nil"/>
              <w:right w:val="nil"/>
            </w:tcBorders>
            <w:shd w:val="clear" w:color="auto" w:fill="auto"/>
            <w:noWrap/>
            <w:vAlign w:val="bottom"/>
            <w:hideMark/>
          </w:tcPr>
          <w:p w:rsidR="00534B1A" w:rsidRDefault="00534B1A">
            <w:pPr>
              <w:jc w:val="center"/>
              <w:rPr>
                <w:rFonts w:ascii="Microsoft Sans Serif" w:hAnsi="Microsoft Sans Serif" w:cs="Microsoft Sans Serif"/>
                <w:color w:val="FF0000"/>
                <w:sz w:val="18"/>
                <w:szCs w:val="18"/>
              </w:rPr>
            </w:pPr>
          </w:p>
        </w:tc>
        <w:tc>
          <w:tcPr>
            <w:tcW w:w="993" w:type="dxa"/>
            <w:tcBorders>
              <w:top w:val="nil"/>
              <w:left w:val="nil"/>
              <w:bottom w:val="nil"/>
              <w:right w:val="nil"/>
            </w:tcBorders>
            <w:shd w:val="clear" w:color="auto" w:fill="auto"/>
            <w:noWrap/>
            <w:vAlign w:val="bottom"/>
            <w:hideMark/>
          </w:tcPr>
          <w:p w:rsidR="00534B1A" w:rsidRDefault="00534B1A">
            <w:pPr>
              <w:jc w:val="right"/>
              <w:rPr>
                <w:rFonts w:ascii="Microsoft Sans Serif" w:hAnsi="Microsoft Sans Serif" w:cs="Microsoft Sans Serif"/>
                <w:sz w:val="18"/>
                <w:szCs w:val="18"/>
              </w:rPr>
            </w:pPr>
          </w:p>
        </w:tc>
        <w:tc>
          <w:tcPr>
            <w:tcW w:w="816" w:type="dxa"/>
            <w:tcBorders>
              <w:top w:val="nil"/>
              <w:left w:val="nil"/>
              <w:bottom w:val="nil"/>
              <w:right w:val="nil"/>
            </w:tcBorders>
            <w:shd w:val="clear" w:color="auto" w:fill="auto"/>
            <w:noWrap/>
            <w:vAlign w:val="bottom"/>
            <w:hideMark/>
          </w:tcPr>
          <w:p w:rsidR="00534B1A" w:rsidRDefault="00534B1A">
            <w:pPr>
              <w:jc w:val="both"/>
              <w:rPr>
                <w:rFonts w:ascii="Microsoft Sans Serif" w:hAnsi="Microsoft Sans Serif" w:cs="Microsoft Sans Serif"/>
                <w:sz w:val="20"/>
                <w:szCs w:val="20"/>
              </w:rPr>
            </w:pPr>
          </w:p>
        </w:tc>
      </w:tr>
      <w:tr w:rsidR="00534B1A" w:rsidTr="00534B1A">
        <w:trPr>
          <w:trHeight w:val="496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3</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5</w:t>
            </w:r>
          </w:p>
        </w:tc>
        <w:tc>
          <w:tcPr>
            <w:tcW w:w="6301" w:type="dxa"/>
            <w:tcBorders>
              <w:top w:val="single" w:sz="4" w:space="0" w:color="auto"/>
              <w:left w:val="single" w:sz="4" w:space="0" w:color="auto"/>
              <w:bottom w:val="single" w:sz="4" w:space="0" w:color="auto"/>
              <w:right w:val="single" w:sz="4" w:space="0" w:color="auto"/>
            </w:tcBorders>
            <w:shd w:val="clear" w:color="auto" w:fill="auto"/>
            <w:hideMark/>
          </w:tcPr>
          <w:p w:rsidR="00534B1A" w:rsidRDefault="00534B1A">
            <w:pPr>
              <w:jc w:val="both"/>
              <w:rPr>
                <w:b/>
                <w:bCs/>
                <w:sz w:val="22"/>
                <w:szCs w:val="22"/>
              </w:rPr>
            </w:pPr>
            <w:r>
              <w:rPr>
                <w:b/>
                <w:bCs/>
                <w:sz w:val="22"/>
                <w:szCs w:val="22"/>
              </w:rPr>
              <w:t xml:space="preserve">Strojna izrada habajućeg sloja od asfaltbetona AC surf 11 AG4M4 </w:t>
            </w:r>
            <w:r>
              <w:rPr>
                <w:sz w:val="22"/>
                <w:szCs w:val="22"/>
              </w:rPr>
              <w:t>, debljine 5  cm, proizvedenog i ugrađenog po vrućem postupku. U cijenu je uključena nabava prethodno strojno proizvedene mješavine od kamenog brašna, kamenog materijala i bitumenskog veziva (cestograđevni bitumen ili polimerom modificirani bitumen), vrste kamenog materijala i granulometrijskog sastava po načelu najgušće smjese, a sve prema odredbama u projektu i u skladu sa OTU, te utovar, prijevoz i strojna ugradnja (razastiranje i zbijanje).</w:t>
            </w:r>
            <w:r>
              <w:rPr>
                <w:sz w:val="22"/>
                <w:szCs w:val="22"/>
              </w:rPr>
              <w:br/>
            </w:r>
            <w:r>
              <w:rPr>
                <w:sz w:val="20"/>
                <w:szCs w:val="20"/>
              </w:rPr>
              <w:t>Izvedba, kontrola kakvoće i obračun oprema Općim tehničkim uvjetima za radove na cestama, IGH 2001. (OTU), 1.i 5. Poglavlje; odredbe  6-03; 6-03.1 do 6-03.7</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6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single" w:sz="4" w:space="0" w:color="auto"/>
            </w:tcBorders>
            <w:shd w:val="clear" w:color="auto" w:fill="auto"/>
            <w:noWrap/>
            <w:hideMark/>
          </w:tcPr>
          <w:p w:rsidR="00534B1A" w:rsidRDefault="00534B1A">
            <w:pPr>
              <w:jc w:val="both"/>
              <w:rPr>
                <w:sz w:val="22"/>
                <w:szCs w:val="22"/>
              </w:rPr>
            </w:pPr>
            <w:r>
              <w:rPr>
                <w:sz w:val="22"/>
                <w:szCs w:val="22"/>
              </w:rPr>
              <w:t> </w:t>
            </w:r>
          </w:p>
        </w:tc>
        <w:tc>
          <w:tcPr>
            <w:tcW w:w="6301" w:type="dxa"/>
            <w:tcBorders>
              <w:top w:val="nil"/>
              <w:left w:val="nil"/>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t</w:t>
            </w:r>
          </w:p>
        </w:tc>
        <w:tc>
          <w:tcPr>
            <w:tcW w:w="127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t</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63,00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25"/>
        </w:trPr>
        <w:tc>
          <w:tcPr>
            <w:tcW w:w="326" w:type="dxa"/>
            <w:tcBorders>
              <w:top w:val="nil"/>
              <w:left w:val="nil"/>
              <w:bottom w:val="nil"/>
              <w:right w:val="nil"/>
            </w:tcBorders>
            <w:shd w:val="clear" w:color="auto" w:fill="auto"/>
            <w:noWrap/>
            <w:hideMark/>
          </w:tcPr>
          <w:p w:rsidR="00534B1A" w:rsidRDefault="00534B1A">
            <w:pPr>
              <w:jc w:val="both"/>
              <w:rPr>
                <w:rFonts w:ascii="Microsoft Sans Serif" w:hAnsi="Microsoft Sans Serif" w:cs="Microsoft Sans Serif"/>
                <w:b/>
                <w:bCs/>
                <w:sz w:val="18"/>
                <w:szCs w:val="18"/>
              </w:rPr>
            </w:pPr>
          </w:p>
        </w:tc>
        <w:tc>
          <w:tcPr>
            <w:tcW w:w="326" w:type="dxa"/>
            <w:tcBorders>
              <w:top w:val="nil"/>
              <w:left w:val="nil"/>
              <w:bottom w:val="nil"/>
              <w:right w:val="nil"/>
            </w:tcBorders>
            <w:shd w:val="clear" w:color="auto" w:fill="auto"/>
            <w:hideMark/>
          </w:tcPr>
          <w:p w:rsidR="00534B1A" w:rsidRDefault="00534B1A">
            <w:pPr>
              <w:rPr>
                <w:rFonts w:ascii="Microsoft Sans Serif" w:hAnsi="Microsoft Sans Serif" w:cs="Microsoft Sans Serif"/>
                <w:i/>
                <w:iCs/>
                <w:sz w:val="18"/>
                <w:szCs w:val="18"/>
              </w:rPr>
            </w:pPr>
          </w:p>
        </w:tc>
        <w:tc>
          <w:tcPr>
            <w:tcW w:w="6301" w:type="dxa"/>
            <w:tcBorders>
              <w:top w:val="nil"/>
              <w:left w:val="nil"/>
              <w:bottom w:val="nil"/>
              <w:right w:val="nil"/>
            </w:tcBorders>
            <w:shd w:val="clear" w:color="auto" w:fill="auto"/>
            <w:hideMark/>
          </w:tcPr>
          <w:p w:rsidR="00534B1A" w:rsidRDefault="00534B1A">
            <w:pPr>
              <w:rPr>
                <w:rFonts w:ascii="Microsoft Sans Serif" w:hAnsi="Microsoft Sans Serif" w:cs="Microsoft Sans Serif"/>
                <w:i/>
                <w:iCs/>
                <w:color w:val="FF0000"/>
                <w:sz w:val="18"/>
                <w:szCs w:val="18"/>
              </w:rPr>
            </w:pPr>
          </w:p>
        </w:tc>
        <w:tc>
          <w:tcPr>
            <w:tcW w:w="1276" w:type="dxa"/>
            <w:tcBorders>
              <w:top w:val="nil"/>
              <w:left w:val="nil"/>
              <w:bottom w:val="nil"/>
              <w:right w:val="nil"/>
            </w:tcBorders>
            <w:shd w:val="clear" w:color="auto" w:fill="auto"/>
            <w:noWrap/>
            <w:vAlign w:val="bottom"/>
            <w:hideMark/>
          </w:tcPr>
          <w:p w:rsidR="00534B1A" w:rsidRDefault="00534B1A">
            <w:pPr>
              <w:jc w:val="right"/>
              <w:rPr>
                <w:rFonts w:ascii="Microsoft Sans Serif" w:hAnsi="Microsoft Sans Serif" w:cs="Microsoft Sans Serif"/>
                <w:sz w:val="18"/>
                <w:szCs w:val="18"/>
              </w:rPr>
            </w:pPr>
          </w:p>
        </w:tc>
        <w:tc>
          <w:tcPr>
            <w:tcW w:w="1127" w:type="dxa"/>
            <w:tcBorders>
              <w:top w:val="nil"/>
              <w:left w:val="nil"/>
              <w:bottom w:val="nil"/>
              <w:right w:val="nil"/>
            </w:tcBorders>
            <w:shd w:val="clear" w:color="auto" w:fill="auto"/>
            <w:noWrap/>
            <w:vAlign w:val="bottom"/>
            <w:hideMark/>
          </w:tcPr>
          <w:p w:rsidR="00534B1A" w:rsidRDefault="00534B1A">
            <w:pPr>
              <w:jc w:val="center"/>
              <w:rPr>
                <w:rFonts w:ascii="Microsoft Sans Serif" w:hAnsi="Microsoft Sans Serif" w:cs="Microsoft Sans Serif"/>
                <w:color w:val="FF0000"/>
                <w:sz w:val="18"/>
                <w:szCs w:val="18"/>
              </w:rPr>
            </w:pPr>
          </w:p>
        </w:tc>
        <w:tc>
          <w:tcPr>
            <w:tcW w:w="993" w:type="dxa"/>
            <w:tcBorders>
              <w:top w:val="nil"/>
              <w:left w:val="nil"/>
              <w:bottom w:val="nil"/>
              <w:right w:val="nil"/>
            </w:tcBorders>
            <w:shd w:val="clear" w:color="auto" w:fill="auto"/>
            <w:noWrap/>
            <w:vAlign w:val="bottom"/>
            <w:hideMark/>
          </w:tcPr>
          <w:p w:rsidR="00534B1A" w:rsidRDefault="00534B1A">
            <w:pPr>
              <w:jc w:val="right"/>
              <w:rPr>
                <w:rFonts w:ascii="Microsoft Sans Serif" w:hAnsi="Microsoft Sans Serif" w:cs="Microsoft Sans Serif"/>
                <w:sz w:val="18"/>
                <w:szCs w:val="18"/>
              </w:rPr>
            </w:pPr>
          </w:p>
        </w:tc>
        <w:tc>
          <w:tcPr>
            <w:tcW w:w="816" w:type="dxa"/>
            <w:tcBorders>
              <w:top w:val="nil"/>
              <w:left w:val="nil"/>
              <w:bottom w:val="nil"/>
              <w:right w:val="nil"/>
            </w:tcBorders>
            <w:shd w:val="clear" w:color="auto" w:fill="auto"/>
            <w:noWrap/>
            <w:vAlign w:val="bottom"/>
            <w:hideMark/>
          </w:tcPr>
          <w:p w:rsidR="00534B1A" w:rsidRDefault="00534B1A">
            <w:pPr>
              <w:jc w:val="both"/>
              <w:rPr>
                <w:rFonts w:ascii="Microsoft Sans Serif" w:hAnsi="Microsoft Sans Serif" w:cs="Microsoft Sans Serif"/>
                <w:sz w:val="20"/>
                <w:szCs w:val="20"/>
              </w:rPr>
            </w:pP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E3E3E3"/>
            <w:hideMark/>
          </w:tcPr>
          <w:p w:rsidR="00534B1A" w:rsidRDefault="00534B1A">
            <w:pPr>
              <w:jc w:val="right"/>
              <w:rPr>
                <w:b/>
                <w:bCs/>
                <w:sz w:val="22"/>
                <w:szCs w:val="22"/>
              </w:rPr>
            </w:pPr>
            <w:r>
              <w:rPr>
                <w:b/>
                <w:bCs/>
                <w:sz w:val="22"/>
                <w:szCs w:val="22"/>
              </w:rPr>
              <w:t>ukupno (kn):</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p w:rsidR="007F5981" w:rsidRDefault="007F5981">
            <w:pPr>
              <w:jc w:val="right"/>
              <w:rPr>
                <w:b/>
                <w:bCs/>
                <w:sz w:val="22"/>
                <w:szCs w:val="22"/>
              </w:rPr>
            </w:pPr>
          </w:p>
          <w:p w:rsidR="007F5981" w:rsidRDefault="007F5981">
            <w:pPr>
              <w:jc w:val="right"/>
              <w:rPr>
                <w:b/>
                <w:bCs/>
                <w:sz w:val="22"/>
                <w:szCs w:val="22"/>
              </w:rPr>
            </w:pPr>
          </w:p>
          <w:p w:rsidR="007F5981" w:rsidRDefault="007F5981">
            <w:pPr>
              <w:jc w:val="right"/>
              <w:rPr>
                <w:b/>
                <w:bCs/>
                <w:sz w:val="22"/>
                <w:szCs w:val="22"/>
              </w:rPr>
            </w:pPr>
          </w:p>
          <w:p w:rsidR="007F5981" w:rsidRDefault="007F5981">
            <w:pPr>
              <w:jc w:val="right"/>
              <w:rPr>
                <w:b/>
                <w:bCs/>
                <w:sz w:val="22"/>
                <w:szCs w:val="22"/>
              </w:rPr>
            </w:pPr>
          </w:p>
          <w:p w:rsidR="007F5981" w:rsidRDefault="007F5981">
            <w:pPr>
              <w:jc w:val="right"/>
              <w:rPr>
                <w:b/>
                <w:bCs/>
                <w:sz w:val="22"/>
                <w:szCs w:val="22"/>
              </w:rPr>
            </w:pPr>
          </w:p>
          <w:p w:rsidR="007F5981" w:rsidRDefault="007F5981">
            <w:pPr>
              <w:jc w:val="right"/>
              <w:rPr>
                <w:b/>
                <w:bCs/>
                <w:sz w:val="22"/>
                <w:szCs w:val="22"/>
              </w:rPr>
            </w:pPr>
          </w:p>
          <w:p w:rsidR="007F5981" w:rsidRDefault="007F5981">
            <w:pPr>
              <w:jc w:val="right"/>
              <w:rPr>
                <w:b/>
                <w:bCs/>
                <w:sz w:val="22"/>
                <w:szCs w:val="22"/>
              </w:rPr>
            </w:pPr>
          </w:p>
          <w:p w:rsidR="007F5981" w:rsidRDefault="007F5981">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330"/>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r>
              <w:rPr>
                <w:b/>
                <w:bCs/>
                <w:sz w:val="22"/>
                <w:szCs w:val="22"/>
              </w:rPr>
              <w:t>4</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C0C0C0"/>
            <w:hideMark/>
          </w:tcPr>
          <w:p w:rsidR="00534B1A" w:rsidRDefault="00534B1A">
            <w:pPr>
              <w:rPr>
                <w:b/>
                <w:bCs/>
                <w:sz w:val="22"/>
                <w:szCs w:val="22"/>
              </w:rPr>
            </w:pPr>
            <w:r>
              <w:rPr>
                <w:b/>
                <w:bCs/>
                <w:sz w:val="22"/>
                <w:szCs w:val="22"/>
              </w:rPr>
              <w:t>PARKIRALIŠTE</w:t>
            </w:r>
          </w:p>
        </w:tc>
        <w:tc>
          <w:tcPr>
            <w:tcW w:w="127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w:t>
            </w:r>
            <w:r>
              <w:rPr>
                <w:sz w:val="22"/>
                <w:szCs w:val="22"/>
              </w:rPr>
              <w:br/>
              <w:t>mjere</w:t>
            </w:r>
          </w:p>
        </w:tc>
        <w:tc>
          <w:tcPr>
            <w:tcW w:w="1127"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2"/>
                <w:szCs w:val="22"/>
              </w:rPr>
            </w:pPr>
            <w:r>
              <w:rPr>
                <w:sz w:val="22"/>
                <w:szCs w:val="22"/>
              </w:rPr>
              <w:t>količina</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rsidR="00534B1A" w:rsidRDefault="00534B1A">
            <w:pPr>
              <w:jc w:val="center"/>
              <w:rPr>
                <w:sz w:val="22"/>
                <w:szCs w:val="22"/>
              </w:rPr>
            </w:pPr>
            <w:r>
              <w:rPr>
                <w:sz w:val="22"/>
                <w:szCs w:val="22"/>
              </w:rPr>
              <w:t>jed. cijena (kn)</w:t>
            </w:r>
          </w:p>
        </w:tc>
        <w:tc>
          <w:tcPr>
            <w:tcW w:w="81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0"/>
                <w:szCs w:val="20"/>
              </w:rPr>
            </w:pPr>
            <w:r>
              <w:rPr>
                <w:sz w:val="20"/>
                <w:szCs w:val="20"/>
              </w:rPr>
              <w:t xml:space="preserve">  ukupno </w:t>
            </w:r>
            <w:r>
              <w:rPr>
                <w:sz w:val="20"/>
                <w:szCs w:val="20"/>
              </w:rPr>
              <w:br/>
              <w:t>(kn)</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b/>
                <w:bCs/>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241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4</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 xml:space="preserve">Frezanje površine prosječne debljine </w:t>
            </w:r>
            <w:r>
              <w:rPr>
                <w:sz w:val="20"/>
                <w:szCs w:val="20"/>
              </w:rPr>
              <w:t>2-4</w:t>
            </w:r>
            <w:r>
              <w:rPr>
                <w:b/>
                <w:bCs/>
                <w:sz w:val="22"/>
                <w:szCs w:val="22"/>
              </w:rPr>
              <w:t xml:space="preserve"> cm: </w:t>
            </w:r>
            <w:r>
              <w:rPr>
                <w:b/>
                <w:bCs/>
                <w:sz w:val="22"/>
                <w:szCs w:val="22"/>
              </w:rPr>
              <w:br/>
            </w:r>
            <w:r>
              <w:rPr>
                <w:sz w:val="22"/>
                <w:szCs w:val="22"/>
              </w:rPr>
              <w:t>obuhvaća frezanje asfaltnog sloja i odvoz uklonjenog materijala na lokaciju koju određuje Naručitelj i njegovo deponiranje i čuvanje, prosječne udaljenosti 20 km te završno čišćenje kolnika od ostataka isfrezanog asfalta. Obračun po m2 frezane površine kolnika.</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32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Obračun po m</w:t>
            </w:r>
            <w:r>
              <w:rPr>
                <w:sz w:val="22"/>
                <w:szCs w:val="22"/>
                <w:vertAlign w:val="superscript"/>
              </w:rPr>
              <w:t>2</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m</w:t>
            </w:r>
            <w:r>
              <w:rPr>
                <w:rFonts w:ascii="Times New Roman CE" w:hAnsi="Times New Roman CE"/>
                <w:sz w:val="22"/>
                <w:szCs w:val="22"/>
                <w:vertAlign w:val="superscript"/>
              </w:rPr>
              <w:t>2</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200,00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color w:val="FF0000"/>
                <w:sz w:val="22"/>
                <w:szCs w:val="22"/>
              </w:rPr>
            </w:pPr>
            <w:r>
              <w:rPr>
                <w:color w:val="FF0000"/>
                <w:sz w:val="22"/>
                <w:szCs w:val="22"/>
              </w:rPr>
              <w:t> </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241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4</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6301" w:type="dxa"/>
            <w:tcBorders>
              <w:top w:val="single" w:sz="4" w:space="0" w:color="auto"/>
              <w:left w:val="single" w:sz="4" w:space="0" w:color="auto"/>
              <w:bottom w:val="nil"/>
              <w:right w:val="single" w:sz="4" w:space="0" w:color="auto"/>
            </w:tcBorders>
            <w:shd w:val="clear" w:color="auto" w:fill="auto"/>
            <w:hideMark/>
          </w:tcPr>
          <w:p w:rsidR="00534B1A" w:rsidRDefault="00534B1A">
            <w:pPr>
              <w:jc w:val="both"/>
              <w:rPr>
                <w:b/>
                <w:bCs/>
                <w:sz w:val="22"/>
                <w:szCs w:val="22"/>
              </w:rPr>
            </w:pPr>
            <w:r>
              <w:rPr>
                <w:b/>
                <w:bCs/>
                <w:sz w:val="22"/>
                <w:szCs w:val="22"/>
              </w:rPr>
              <w:t xml:space="preserve">Popravak oštećenog kolnika strojnom ugradnjom asfaltbetona AC surf 11 (AG4M4) kao završnog sloja </w:t>
            </w:r>
            <w:r>
              <w:rPr>
                <w:b/>
                <w:bCs/>
                <w:sz w:val="22"/>
                <w:szCs w:val="22"/>
              </w:rPr>
              <w:br/>
            </w:r>
            <w:r>
              <w:rPr>
                <w:sz w:val="22"/>
                <w:szCs w:val="22"/>
              </w:rPr>
              <w:t>obuhvaća dobavu i ugradnju asfaltne mješavine AC 11 surf u završni sloj debljine 5 cm uz prethodno čišćenje kolnika i špricanje bitumenskom emulzijom.</w:t>
            </w:r>
            <w:r>
              <w:rPr>
                <w:sz w:val="22"/>
                <w:szCs w:val="22"/>
              </w:rPr>
              <w:br/>
              <w:t>Obračun po toni ugrađene mase.</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D8D8D8"/>
            <w:hideMark/>
          </w:tcPr>
          <w:p w:rsidR="00534B1A" w:rsidRDefault="00534B1A">
            <w:pPr>
              <w:rPr>
                <w:sz w:val="22"/>
                <w:szCs w:val="22"/>
              </w:rPr>
            </w:pPr>
            <w:r>
              <w:rPr>
                <w:sz w:val="22"/>
                <w:szCs w:val="22"/>
              </w:rPr>
              <w:t xml:space="preserve">Obračun po </w:t>
            </w:r>
            <w:r>
              <w:rPr>
                <w:b/>
                <w:bCs/>
                <w:sz w:val="22"/>
                <w:szCs w:val="22"/>
              </w:rPr>
              <w:t>t</w:t>
            </w:r>
          </w:p>
        </w:tc>
        <w:tc>
          <w:tcPr>
            <w:tcW w:w="1276"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t</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26,00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single" w:sz="4" w:space="0" w:color="auto"/>
              <w:right w:val="nil"/>
            </w:tcBorders>
            <w:shd w:val="clear" w:color="auto" w:fill="auto"/>
            <w:hideMark/>
          </w:tcPr>
          <w:p w:rsidR="00534B1A" w:rsidRDefault="00534B1A">
            <w:pPr>
              <w:jc w:val="both"/>
              <w:rPr>
                <w:color w:val="FF0000"/>
                <w:sz w:val="20"/>
                <w:szCs w:val="20"/>
              </w:rPr>
            </w:pPr>
            <w:r>
              <w:rPr>
                <w:color w:val="FF0000"/>
                <w:sz w:val="20"/>
                <w:szCs w:val="20"/>
              </w:rPr>
              <w:t> </w:t>
            </w:r>
          </w:p>
        </w:tc>
        <w:tc>
          <w:tcPr>
            <w:tcW w:w="1276" w:type="dxa"/>
            <w:tcBorders>
              <w:top w:val="nil"/>
              <w:left w:val="nil"/>
              <w:bottom w:val="nil"/>
              <w:right w:val="nil"/>
            </w:tcBorders>
            <w:shd w:val="clear" w:color="auto" w:fill="auto"/>
            <w:noWrap/>
            <w:vAlign w:val="bottom"/>
            <w:hideMark/>
          </w:tcPr>
          <w:p w:rsidR="00534B1A" w:rsidRDefault="00534B1A">
            <w:pPr>
              <w:jc w:val="center"/>
              <w:rPr>
                <w:rFonts w:ascii="Microsoft Sans Serif" w:hAnsi="Microsoft Sans Serif" w:cs="Microsoft Sans Serif"/>
                <w:sz w:val="18"/>
                <w:szCs w:val="18"/>
              </w:rPr>
            </w:pPr>
          </w:p>
        </w:tc>
        <w:tc>
          <w:tcPr>
            <w:tcW w:w="1127"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single" w:sz="4" w:space="0" w:color="auto"/>
              <w:bottom w:val="single" w:sz="4" w:space="0" w:color="auto"/>
              <w:right w:val="single" w:sz="4" w:space="0" w:color="auto"/>
            </w:tcBorders>
            <w:shd w:val="clear" w:color="000000" w:fill="E3E3E3"/>
            <w:hideMark/>
          </w:tcPr>
          <w:p w:rsidR="00534B1A" w:rsidRDefault="00534B1A">
            <w:pPr>
              <w:jc w:val="right"/>
              <w:rPr>
                <w:b/>
                <w:bCs/>
                <w:sz w:val="22"/>
                <w:szCs w:val="22"/>
              </w:rPr>
            </w:pPr>
            <w:r>
              <w:rPr>
                <w:b/>
                <w:bCs/>
                <w:sz w:val="22"/>
                <w:szCs w:val="22"/>
              </w:rPr>
              <w:t>ukupno (kn):</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330"/>
        </w:trPr>
        <w:tc>
          <w:tcPr>
            <w:tcW w:w="326" w:type="dxa"/>
            <w:tcBorders>
              <w:top w:val="nil"/>
              <w:left w:val="nil"/>
              <w:bottom w:val="nil"/>
              <w:right w:val="nil"/>
            </w:tcBorders>
            <w:shd w:val="clear" w:color="auto" w:fill="auto"/>
            <w:noWrap/>
            <w:hideMark/>
          </w:tcPr>
          <w:p w:rsidR="00534B1A" w:rsidRDefault="00534B1A">
            <w:pPr>
              <w:jc w:val="both"/>
              <w:rPr>
                <w:b/>
                <w:bCs/>
                <w:sz w:val="22"/>
                <w:szCs w:val="22"/>
              </w:rPr>
            </w:pPr>
            <w:r>
              <w:rPr>
                <w:b/>
                <w:bCs/>
                <w:sz w:val="22"/>
                <w:szCs w:val="22"/>
              </w:rPr>
              <w:t>5</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C0C0C0"/>
            <w:hideMark/>
          </w:tcPr>
          <w:p w:rsidR="00534B1A" w:rsidRDefault="00534B1A">
            <w:pPr>
              <w:rPr>
                <w:b/>
                <w:bCs/>
                <w:sz w:val="22"/>
                <w:szCs w:val="22"/>
              </w:rPr>
            </w:pPr>
            <w:r>
              <w:rPr>
                <w:b/>
                <w:bCs/>
                <w:sz w:val="22"/>
                <w:szCs w:val="22"/>
              </w:rPr>
              <w:t>OSTALI RADOVI</w:t>
            </w:r>
          </w:p>
        </w:tc>
        <w:tc>
          <w:tcPr>
            <w:tcW w:w="127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2"/>
                <w:szCs w:val="22"/>
              </w:rPr>
            </w:pPr>
            <w:r>
              <w:rPr>
                <w:sz w:val="22"/>
                <w:szCs w:val="22"/>
              </w:rPr>
              <w:t>jed.</w:t>
            </w:r>
            <w:r>
              <w:rPr>
                <w:sz w:val="22"/>
                <w:szCs w:val="22"/>
              </w:rPr>
              <w:br/>
              <w:t>mjere</w:t>
            </w:r>
          </w:p>
        </w:tc>
        <w:tc>
          <w:tcPr>
            <w:tcW w:w="1127" w:type="dxa"/>
            <w:tcBorders>
              <w:top w:val="single" w:sz="4" w:space="0" w:color="auto"/>
              <w:left w:val="nil"/>
              <w:bottom w:val="single" w:sz="4" w:space="0" w:color="auto"/>
              <w:right w:val="single" w:sz="4" w:space="0" w:color="auto"/>
            </w:tcBorders>
            <w:shd w:val="clear" w:color="000000" w:fill="C0C0C0"/>
            <w:noWrap/>
            <w:hideMark/>
          </w:tcPr>
          <w:p w:rsidR="00534B1A" w:rsidRDefault="00534B1A">
            <w:pPr>
              <w:jc w:val="center"/>
              <w:rPr>
                <w:sz w:val="22"/>
                <w:szCs w:val="22"/>
              </w:rPr>
            </w:pPr>
            <w:r>
              <w:rPr>
                <w:sz w:val="22"/>
                <w:szCs w:val="22"/>
              </w:rPr>
              <w:t>količina</w:t>
            </w:r>
          </w:p>
        </w:tc>
        <w:tc>
          <w:tcPr>
            <w:tcW w:w="993" w:type="dxa"/>
            <w:tcBorders>
              <w:top w:val="single" w:sz="4" w:space="0" w:color="auto"/>
              <w:left w:val="nil"/>
              <w:bottom w:val="single" w:sz="4" w:space="0" w:color="auto"/>
              <w:right w:val="single" w:sz="4" w:space="0" w:color="auto"/>
            </w:tcBorders>
            <w:shd w:val="clear" w:color="000000" w:fill="C0C0C0"/>
            <w:vAlign w:val="bottom"/>
            <w:hideMark/>
          </w:tcPr>
          <w:p w:rsidR="00534B1A" w:rsidRDefault="00534B1A">
            <w:pPr>
              <w:jc w:val="center"/>
              <w:rPr>
                <w:sz w:val="22"/>
                <w:szCs w:val="22"/>
              </w:rPr>
            </w:pPr>
            <w:r>
              <w:rPr>
                <w:sz w:val="22"/>
                <w:szCs w:val="22"/>
              </w:rPr>
              <w:t>jed. cijena (kn)</w:t>
            </w:r>
          </w:p>
        </w:tc>
        <w:tc>
          <w:tcPr>
            <w:tcW w:w="816" w:type="dxa"/>
            <w:tcBorders>
              <w:top w:val="single" w:sz="4" w:space="0" w:color="auto"/>
              <w:left w:val="nil"/>
              <w:bottom w:val="single" w:sz="4" w:space="0" w:color="auto"/>
              <w:right w:val="single" w:sz="4" w:space="0" w:color="auto"/>
            </w:tcBorders>
            <w:shd w:val="clear" w:color="000000" w:fill="C0C0C0"/>
            <w:hideMark/>
          </w:tcPr>
          <w:p w:rsidR="00534B1A" w:rsidRDefault="00534B1A">
            <w:pPr>
              <w:jc w:val="center"/>
              <w:rPr>
                <w:sz w:val="20"/>
                <w:szCs w:val="20"/>
              </w:rPr>
            </w:pPr>
            <w:r>
              <w:rPr>
                <w:sz w:val="20"/>
                <w:szCs w:val="20"/>
              </w:rPr>
              <w:t xml:space="preserve">  ukupno </w:t>
            </w:r>
            <w:r>
              <w:rPr>
                <w:sz w:val="20"/>
                <w:szCs w:val="20"/>
              </w:rPr>
              <w:br/>
              <w:t>(kn)</w:t>
            </w: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451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5</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1</w:t>
            </w:r>
          </w:p>
        </w:tc>
        <w:tc>
          <w:tcPr>
            <w:tcW w:w="6301" w:type="dxa"/>
            <w:tcBorders>
              <w:top w:val="single" w:sz="4" w:space="0" w:color="auto"/>
              <w:left w:val="single" w:sz="4" w:space="0" w:color="auto"/>
              <w:bottom w:val="single" w:sz="4" w:space="0" w:color="auto"/>
              <w:right w:val="single" w:sz="4" w:space="0" w:color="auto"/>
            </w:tcBorders>
            <w:shd w:val="clear" w:color="auto" w:fill="auto"/>
            <w:hideMark/>
          </w:tcPr>
          <w:p w:rsidR="00534B1A" w:rsidRDefault="00534B1A">
            <w:pPr>
              <w:rPr>
                <w:b/>
                <w:bCs/>
                <w:sz w:val="22"/>
                <w:szCs w:val="22"/>
              </w:rPr>
            </w:pPr>
            <w:r>
              <w:rPr>
                <w:b/>
                <w:bCs/>
                <w:sz w:val="22"/>
                <w:szCs w:val="22"/>
              </w:rPr>
              <w:t xml:space="preserve">Elaborat izvedenog stanja prometnice. </w:t>
            </w:r>
            <w:r>
              <w:rPr>
                <w:sz w:val="22"/>
                <w:szCs w:val="22"/>
              </w:rPr>
              <w:t>Nakon završetka svih radova u svezi izgradnje novih prometnica mora se izraditi geodetski snimak stvarno izvedenog stanja, a zbog unošenja u katastarski plan. Predaje se investitoru u cjelovitom kartiranom i digitalnom obliku. Broj primjeraka prema dogovoru s investitorom (ovisno o potrebama investitora i komunalnih poduzeća. Elaborat mora biti izrađen u apsolutnim (x, y, z) koordinatama i ovjeren od nadležnog katastarskog ureda.Izvedba, kontrola kakvoće i obračun oprema Općim tehničkim uvjetima za radove na cestama, IGH 2001. (OTU), 1. Poglavlje; odredba  1-02.6.</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single" w:sz="4" w:space="0" w:color="auto"/>
              <w:bottom w:val="single" w:sz="4" w:space="0" w:color="auto"/>
              <w:right w:val="single" w:sz="4" w:space="0" w:color="auto"/>
            </w:tcBorders>
            <w:shd w:val="clear" w:color="000000" w:fill="E3E3E3"/>
            <w:hideMark/>
          </w:tcPr>
          <w:p w:rsidR="00534B1A" w:rsidRDefault="00534B1A">
            <w:pPr>
              <w:rPr>
                <w:rFonts w:ascii="Microsoft Sans Serif" w:hAnsi="Microsoft Sans Serif" w:cs="Microsoft Sans Serif"/>
                <w:i/>
                <w:iCs/>
                <w:sz w:val="18"/>
                <w:szCs w:val="18"/>
              </w:rPr>
            </w:pPr>
            <w:r>
              <w:rPr>
                <w:rFonts w:ascii="Microsoft Sans Serif" w:hAnsi="Microsoft Sans Serif" w:cs="Microsoft Sans Serif"/>
                <w:i/>
                <w:iCs/>
                <w:sz w:val="18"/>
                <w:szCs w:val="18"/>
              </w:rPr>
              <w:t>Obračun po m' trase, priključnih cesta i objekata</w:t>
            </w:r>
          </w:p>
        </w:tc>
        <w:tc>
          <w:tcPr>
            <w:tcW w:w="1276" w:type="dxa"/>
            <w:tcBorders>
              <w:top w:val="single" w:sz="4" w:space="0" w:color="auto"/>
              <w:left w:val="nil"/>
              <w:bottom w:val="single" w:sz="4" w:space="0" w:color="auto"/>
              <w:right w:val="single" w:sz="4" w:space="0" w:color="auto"/>
            </w:tcBorders>
            <w:shd w:val="clear" w:color="000000" w:fill="E3E3E3"/>
            <w:noWrap/>
            <w:vAlign w:val="bottom"/>
            <w:hideMark/>
          </w:tcPr>
          <w:p w:rsidR="00534B1A" w:rsidRDefault="00534B1A">
            <w:pPr>
              <w:jc w:val="center"/>
              <w:rPr>
                <w:rFonts w:ascii="Microsoft Sans Serif" w:hAnsi="Microsoft Sans Serif" w:cs="Microsoft Sans Serif"/>
                <w:sz w:val="18"/>
                <w:szCs w:val="18"/>
              </w:rPr>
            </w:pPr>
            <w:r>
              <w:rPr>
                <w:rFonts w:ascii="Microsoft Sans Serif" w:hAnsi="Microsoft Sans Serif" w:cs="Microsoft Sans Serif"/>
                <w:sz w:val="18"/>
                <w:szCs w:val="18"/>
              </w:rPr>
              <w:t>m´</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200,00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795"/>
        </w:trPr>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5</w:t>
            </w:r>
          </w:p>
        </w:tc>
        <w:tc>
          <w:tcPr>
            <w:tcW w:w="326" w:type="dxa"/>
            <w:tcBorders>
              <w:top w:val="nil"/>
              <w:left w:val="nil"/>
              <w:bottom w:val="nil"/>
              <w:right w:val="nil"/>
            </w:tcBorders>
            <w:shd w:val="clear" w:color="auto" w:fill="auto"/>
            <w:noWrap/>
            <w:hideMark/>
          </w:tcPr>
          <w:p w:rsidR="00534B1A" w:rsidRDefault="00534B1A">
            <w:pPr>
              <w:jc w:val="both"/>
              <w:rPr>
                <w:sz w:val="22"/>
                <w:szCs w:val="22"/>
              </w:rPr>
            </w:pPr>
            <w:r>
              <w:rPr>
                <w:sz w:val="22"/>
                <w:szCs w:val="22"/>
              </w:rPr>
              <w:t>2</w:t>
            </w:r>
          </w:p>
        </w:tc>
        <w:tc>
          <w:tcPr>
            <w:tcW w:w="6301" w:type="dxa"/>
            <w:tcBorders>
              <w:top w:val="single" w:sz="4" w:space="0" w:color="auto"/>
              <w:left w:val="single" w:sz="4" w:space="0" w:color="auto"/>
              <w:bottom w:val="single" w:sz="4" w:space="0" w:color="auto"/>
              <w:right w:val="single" w:sz="4" w:space="0" w:color="auto"/>
            </w:tcBorders>
            <w:shd w:val="clear" w:color="auto" w:fill="auto"/>
            <w:hideMark/>
          </w:tcPr>
          <w:p w:rsidR="00534B1A" w:rsidRDefault="00534B1A">
            <w:pPr>
              <w:rPr>
                <w:b/>
                <w:bCs/>
                <w:sz w:val="22"/>
                <w:szCs w:val="22"/>
              </w:rPr>
            </w:pPr>
            <w:r>
              <w:rPr>
                <w:b/>
                <w:bCs/>
                <w:sz w:val="22"/>
                <w:szCs w:val="22"/>
              </w:rPr>
              <w:t>Provedba stručnog nadzora nad izvođenjem (5% ukupne cijene radova)</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single" w:sz="4" w:space="0" w:color="auto"/>
              <w:bottom w:val="single" w:sz="4" w:space="0" w:color="auto"/>
              <w:right w:val="single" w:sz="4" w:space="0" w:color="auto"/>
            </w:tcBorders>
            <w:shd w:val="clear" w:color="000000" w:fill="E3E3E3"/>
            <w:hideMark/>
          </w:tcPr>
          <w:p w:rsidR="00534B1A" w:rsidRDefault="00534B1A">
            <w:pPr>
              <w:rPr>
                <w:rFonts w:ascii="Microsoft Sans Serif" w:hAnsi="Microsoft Sans Serif" w:cs="Microsoft Sans Serif"/>
                <w:i/>
                <w:iCs/>
                <w:sz w:val="18"/>
                <w:szCs w:val="18"/>
              </w:rPr>
            </w:pPr>
            <w:r>
              <w:rPr>
                <w:rFonts w:ascii="Microsoft Sans Serif" w:hAnsi="Microsoft Sans Serif" w:cs="Microsoft Sans Serif"/>
                <w:i/>
                <w:iCs/>
                <w:sz w:val="18"/>
                <w:szCs w:val="18"/>
              </w:rPr>
              <w:t>Obračun po kompletu</w:t>
            </w:r>
          </w:p>
        </w:tc>
        <w:tc>
          <w:tcPr>
            <w:tcW w:w="1276" w:type="dxa"/>
            <w:tcBorders>
              <w:top w:val="single" w:sz="4" w:space="0" w:color="auto"/>
              <w:left w:val="nil"/>
              <w:bottom w:val="single" w:sz="4" w:space="0" w:color="auto"/>
              <w:right w:val="single" w:sz="4" w:space="0" w:color="auto"/>
            </w:tcBorders>
            <w:shd w:val="clear" w:color="000000" w:fill="E3E3E3"/>
            <w:noWrap/>
            <w:vAlign w:val="bottom"/>
            <w:hideMark/>
          </w:tcPr>
          <w:p w:rsidR="00534B1A" w:rsidRDefault="00534B1A">
            <w:pPr>
              <w:jc w:val="center"/>
              <w:rPr>
                <w:rFonts w:ascii="Microsoft Sans Serif" w:hAnsi="Microsoft Sans Serif" w:cs="Microsoft Sans Serif"/>
                <w:sz w:val="18"/>
                <w:szCs w:val="18"/>
              </w:rPr>
            </w:pPr>
            <w:r>
              <w:rPr>
                <w:rFonts w:ascii="Microsoft Sans Serif" w:hAnsi="Microsoft Sans Serif" w:cs="Microsoft Sans Serif"/>
                <w:sz w:val="18"/>
                <w:szCs w:val="18"/>
              </w:rPr>
              <w:t>komplet</w:t>
            </w:r>
          </w:p>
        </w:tc>
        <w:tc>
          <w:tcPr>
            <w:tcW w:w="1127"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center"/>
              <w:rPr>
                <w:sz w:val="22"/>
                <w:szCs w:val="22"/>
              </w:rPr>
            </w:pPr>
            <w:r>
              <w:rPr>
                <w:sz w:val="22"/>
                <w:szCs w:val="22"/>
              </w:rPr>
              <w:t>1,00</w:t>
            </w:r>
          </w:p>
        </w:tc>
        <w:tc>
          <w:tcPr>
            <w:tcW w:w="993" w:type="dxa"/>
            <w:tcBorders>
              <w:top w:val="single" w:sz="4" w:space="0" w:color="auto"/>
              <w:left w:val="nil"/>
              <w:bottom w:val="single" w:sz="4" w:space="0" w:color="auto"/>
              <w:right w:val="single" w:sz="4" w:space="0" w:color="auto"/>
            </w:tcBorders>
            <w:shd w:val="clear" w:color="000000" w:fill="D8D8D8"/>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E3E3E3"/>
            <w:hideMark/>
          </w:tcPr>
          <w:p w:rsidR="00534B1A" w:rsidRDefault="00534B1A">
            <w:pPr>
              <w:jc w:val="right"/>
              <w:rPr>
                <w:b/>
                <w:bCs/>
                <w:sz w:val="22"/>
                <w:szCs w:val="22"/>
              </w:rPr>
            </w:pPr>
            <w:r>
              <w:rPr>
                <w:b/>
                <w:bCs/>
                <w:sz w:val="22"/>
                <w:szCs w:val="22"/>
              </w:rPr>
              <w:t>ukupno (kn):</w:t>
            </w: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rsidR="00534B1A" w:rsidRDefault="00534B1A">
            <w:pPr>
              <w:jc w:val="right"/>
              <w:rPr>
                <w:sz w:val="20"/>
                <w:szCs w:val="20"/>
              </w:rPr>
            </w:pPr>
            <w:r>
              <w:rPr>
                <w:sz w:val="20"/>
                <w:szCs w:val="20"/>
              </w:rPr>
              <w:t>0,00</w:t>
            </w: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80"/>
        </w:trPr>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326" w:type="dxa"/>
            <w:tcBorders>
              <w:top w:val="nil"/>
              <w:left w:val="nil"/>
              <w:bottom w:val="nil"/>
              <w:right w:val="nil"/>
            </w:tcBorders>
            <w:shd w:val="clear" w:color="auto" w:fill="auto"/>
            <w:noWrap/>
            <w:vAlign w:val="bottom"/>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jc w:val="right"/>
              <w:rPr>
                <w:b/>
                <w:bCs/>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gridAfter w:val="1"/>
          <w:wAfter w:w="816" w:type="dxa"/>
          <w:trHeight w:val="280"/>
        </w:trPr>
        <w:tc>
          <w:tcPr>
            <w:tcW w:w="10349" w:type="dxa"/>
            <w:gridSpan w:val="6"/>
            <w:tcBorders>
              <w:top w:val="single" w:sz="4" w:space="0" w:color="auto"/>
              <w:left w:val="single" w:sz="4" w:space="0" w:color="auto"/>
              <w:bottom w:val="single" w:sz="4" w:space="0" w:color="auto"/>
              <w:right w:val="single" w:sz="4" w:space="0" w:color="000000"/>
            </w:tcBorders>
            <w:shd w:val="clear" w:color="000000" w:fill="E3E3E3"/>
            <w:noWrap/>
            <w:hideMark/>
          </w:tcPr>
          <w:p w:rsidR="00534B1A" w:rsidRDefault="00534B1A">
            <w:pPr>
              <w:rPr>
                <w:b/>
                <w:bCs/>
                <w:sz w:val="22"/>
                <w:szCs w:val="22"/>
              </w:rPr>
            </w:pPr>
            <w:r>
              <w:rPr>
                <w:b/>
                <w:bCs/>
                <w:sz w:val="22"/>
                <w:szCs w:val="22"/>
              </w:rPr>
              <w:t>Građevinski - sažetak:</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rPr>
                <w:sz w:val="22"/>
                <w:szCs w:val="22"/>
              </w:rPr>
            </w:pPr>
          </w:p>
        </w:tc>
        <w:tc>
          <w:tcPr>
            <w:tcW w:w="326" w:type="dxa"/>
            <w:tcBorders>
              <w:top w:val="nil"/>
              <w:left w:val="nil"/>
              <w:bottom w:val="nil"/>
              <w:right w:val="nil"/>
            </w:tcBorders>
            <w:shd w:val="clear" w:color="auto" w:fill="auto"/>
            <w:noWrap/>
            <w:hideMark/>
          </w:tcPr>
          <w:p w:rsidR="00534B1A" w:rsidRDefault="00534B1A">
            <w:pPr>
              <w:rPr>
                <w:sz w:val="22"/>
                <w:szCs w:val="22"/>
              </w:rPr>
            </w:pPr>
          </w:p>
        </w:tc>
        <w:tc>
          <w:tcPr>
            <w:tcW w:w="6301" w:type="dxa"/>
            <w:tcBorders>
              <w:top w:val="nil"/>
              <w:left w:val="nil"/>
              <w:bottom w:val="nil"/>
              <w:right w:val="nil"/>
            </w:tcBorders>
            <w:shd w:val="clear" w:color="auto" w:fill="auto"/>
            <w:noWrap/>
            <w:hideMark/>
          </w:tcPr>
          <w:p w:rsidR="00534B1A" w:rsidRDefault="00534B1A">
            <w:pPr>
              <w:rPr>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noWrap/>
            <w:vAlign w:val="bottom"/>
            <w:hideMark/>
          </w:tcPr>
          <w:p w:rsidR="00534B1A" w:rsidRDefault="00534B1A">
            <w:pPr>
              <w:jc w:val="right"/>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right"/>
              <w:rPr>
                <w:sz w:val="20"/>
                <w:szCs w:val="20"/>
              </w:rPr>
            </w:pP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r>
              <w:rPr>
                <w:rFonts w:ascii="Times New Roman CE" w:hAnsi="Times New Roman CE"/>
                <w:b/>
                <w:bCs/>
                <w:sz w:val="22"/>
                <w:szCs w:val="22"/>
              </w:rPr>
              <w:t>1</w:t>
            </w:r>
          </w:p>
        </w:tc>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E3E3E3"/>
            <w:noWrap/>
            <w:hideMark/>
          </w:tcPr>
          <w:p w:rsidR="00534B1A" w:rsidRDefault="00534B1A">
            <w:pPr>
              <w:jc w:val="both"/>
              <w:rPr>
                <w:rFonts w:ascii="Times New Roman CE" w:hAnsi="Times New Roman CE"/>
                <w:b/>
                <w:bCs/>
                <w:sz w:val="22"/>
                <w:szCs w:val="22"/>
              </w:rPr>
            </w:pPr>
            <w:r>
              <w:rPr>
                <w:rFonts w:ascii="Times New Roman CE" w:hAnsi="Times New Roman CE"/>
                <w:b/>
                <w:bCs/>
                <w:sz w:val="22"/>
                <w:szCs w:val="22"/>
              </w:rPr>
              <w:t>Pripremni radovi</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534B1A" w:rsidRDefault="00534B1A">
            <w:pPr>
              <w:jc w:val="center"/>
              <w:rPr>
                <w:rFonts w:ascii="Times New Roman CE" w:hAnsi="Times New Roman CE"/>
                <w:color w:val="FF0000"/>
                <w:sz w:val="22"/>
                <w:szCs w:val="22"/>
              </w:rPr>
            </w:pPr>
            <w:r>
              <w:rPr>
                <w:rFonts w:ascii="Times New Roman CE" w:hAnsi="Times New Roman CE"/>
                <w:color w:val="FF0000"/>
                <w:sz w:val="22"/>
                <w:szCs w:val="22"/>
              </w:rPr>
              <w:t> </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534B1A" w:rsidRDefault="00534B1A">
            <w:pPr>
              <w:jc w:val="right"/>
              <w:rPr>
                <w:rFonts w:ascii="Times New Roman CE" w:hAnsi="Times New Roman CE"/>
                <w:sz w:val="22"/>
                <w:szCs w:val="22"/>
              </w:rPr>
            </w:pPr>
            <w:r>
              <w:rPr>
                <w:rFonts w:ascii="Times New Roman CE" w:hAnsi="Times New Roman CE"/>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rFonts w:ascii="Times New Roman CE" w:hAnsi="Times New Roman CE"/>
                <w:sz w:val="20"/>
                <w:szCs w:val="20"/>
              </w:rPr>
            </w:pPr>
            <w:r>
              <w:rPr>
                <w:rFonts w:ascii="Times New Roman CE" w:hAnsi="Times New Roman CE"/>
                <w:sz w:val="20"/>
                <w:szCs w:val="20"/>
              </w:rPr>
              <w:t>0,00</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r>
              <w:rPr>
                <w:rFonts w:ascii="Times New Roman CE" w:hAnsi="Times New Roman CE"/>
                <w:b/>
                <w:bCs/>
                <w:sz w:val="22"/>
                <w:szCs w:val="22"/>
              </w:rPr>
              <w:t>2</w:t>
            </w:r>
          </w:p>
        </w:tc>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p>
        </w:tc>
        <w:tc>
          <w:tcPr>
            <w:tcW w:w="6301" w:type="dxa"/>
            <w:tcBorders>
              <w:top w:val="nil"/>
              <w:left w:val="single" w:sz="4" w:space="0" w:color="auto"/>
              <w:bottom w:val="single" w:sz="4" w:space="0" w:color="auto"/>
              <w:right w:val="single" w:sz="4" w:space="0" w:color="auto"/>
            </w:tcBorders>
            <w:shd w:val="clear" w:color="000000" w:fill="E3E3E3"/>
            <w:noWrap/>
            <w:hideMark/>
          </w:tcPr>
          <w:p w:rsidR="00534B1A" w:rsidRDefault="00534B1A">
            <w:pPr>
              <w:jc w:val="both"/>
              <w:rPr>
                <w:rFonts w:ascii="Times New Roman CE" w:hAnsi="Times New Roman CE"/>
                <w:b/>
                <w:bCs/>
                <w:sz w:val="22"/>
                <w:szCs w:val="22"/>
              </w:rPr>
            </w:pPr>
            <w:r>
              <w:rPr>
                <w:rFonts w:ascii="Times New Roman CE" w:hAnsi="Times New Roman CE"/>
                <w:b/>
                <w:bCs/>
                <w:sz w:val="22"/>
                <w:szCs w:val="22"/>
              </w:rPr>
              <w:t>Zemljani radovi</w:t>
            </w:r>
          </w:p>
        </w:tc>
        <w:tc>
          <w:tcPr>
            <w:tcW w:w="1276" w:type="dxa"/>
            <w:tcBorders>
              <w:top w:val="nil"/>
              <w:left w:val="nil"/>
              <w:bottom w:val="single" w:sz="4" w:space="0" w:color="auto"/>
              <w:right w:val="single" w:sz="4" w:space="0" w:color="auto"/>
            </w:tcBorders>
            <w:shd w:val="clear" w:color="auto" w:fill="auto"/>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534B1A" w:rsidRDefault="00534B1A">
            <w:pPr>
              <w:jc w:val="center"/>
              <w:rPr>
                <w:rFonts w:ascii="Times New Roman CE" w:hAnsi="Times New Roman CE"/>
                <w:color w:val="FF0000"/>
                <w:sz w:val="22"/>
                <w:szCs w:val="22"/>
              </w:rPr>
            </w:pPr>
            <w:r>
              <w:rPr>
                <w:rFonts w:ascii="Times New Roman CE" w:hAnsi="Times New Roman CE"/>
                <w:color w:val="FF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34B1A" w:rsidRDefault="00534B1A">
            <w:pPr>
              <w:jc w:val="right"/>
              <w:rPr>
                <w:rFonts w:ascii="Times New Roman CE" w:hAnsi="Times New Roman CE"/>
                <w:sz w:val="22"/>
                <w:szCs w:val="22"/>
              </w:rPr>
            </w:pPr>
            <w:r>
              <w:rPr>
                <w:rFonts w:ascii="Times New Roman CE" w:hAnsi="Times New Roman CE"/>
                <w:sz w:val="22"/>
                <w:szCs w:val="22"/>
              </w:rPr>
              <w:t> </w:t>
            </w:r>
          </w:p>
        </w:tc>
        <w:tc>
          <w:tcPr>
            <w:tcW w:w="816" w:type="dxa"/>
            <w:tcBorders>
              <w:top w:val="nil"/>
              <w:left w:val="nil"/>
              <w:bottom w:val="single" w:sz="4" w:space="0" w:color="auto"/>
              <w:right w:val="single" w:sz="4" w:space="0" w:color="auto"/>
            </w:tcBorders>
            <w:shd w:val="clear" w:color="000000" w:fill="D8D8D8"/>
            <w:noWrap/>
            <w:vAlign w:val="bottom"/>
            <w:hideMark/>
          </w:tcPr>
          <w:p w:rsidR="00534B1A" w:rsidRDefault="00534B1A">
            <w:pPr>
              <w:jc w:val="right"/>
              <w:rPr>
                <w:rFonts w:ascii="Times New Roman CE" w:hAnsi="Times New Roman CE"/>
                <w:sz w:val="20"/>
                <w:szCs w:val="20"/>
              </w:rPr>
            </w:pPr>
            <w:r>
              <w:rPr>
                <w:rFonts w:ascii="Times New Roman CE" w:hAnsi="Times New Roman CE"/>
                <w:sz w:val="20"/>
                <w:szCs w:val="20"/>
              </w:rPr>
              <w:t>0,00</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r>
              <w:rPr>
                <w:rFonts w:ascii="Times New Roman CE" w:hAnsi="Times New Roman CE"/>
                <w:b/>
                <w:bCs/>
                <w:sz w:val="22"/>
                <w:szCs w:val="22"/>
              </w:rPr>
              <w:t>3</w:t>
            </w:r>
          </w:p>
        </w:tc>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p>
        </w:tc>
        <w:tc>
          <w:tcPr>
            <w:tcW w:w="6301" w:type="dxa"/>
            <w:tcBorders>
              <w:top w:val="nil"/>
              <w:left w:val="single" w:sz="4" w:space="0" w:color="auto"/>
              <w:bottom w:val="single" w:sz="4" w:space="0" w:color="auto"/>
              <w:right w:val="single" w:sz="4" w:space="0" w:color="auto"/>
            </w:tcBorders>
            <w:shd w:val="clear" w:color="000000" w:fill="E3E3E3"/>
            <w:noWrap/>
            <w:hideMark/>
          </w:tcPr>
          <w:p w:rsidR="00534B1A" w:rsidRDefault="00534B1A">
            <w:pPr>
              <w:jc w:val="both"/>
              <w:rPr>
                <w:rFonts w:ascii="Times New Roman CE" w:hAnsi="Times New Roman CE"/>
                <w:b/>
                <w:bCs/>
                <w:sz w:val="22"/>
                <w:szCs w:val="22"/>
              </w:rPr>
            </w:pPr>
            <w:r>
              <w:rPr>
                <w:rFonts w:ascii="Times New Roman CE" w:hAnsi="Times New Roman CE"/>
                <w:b/>
                <w:bCs/>
                <w:sz w:val="22"/>
                <w:szCs w:val="22"/>
              </w:rPr>
              <w:t>Kolnička konstrukcija</w:t>
            </w:r>
          </w:p>
        </w:tc>
        <w:tc>
          <w:tcPr>
            <w:tcW w:w="1276" w:type="dxa"/>
            <w:tcBorders>
              <w:top w:val="nil"/>
              <w:left w:val="nil"/>
              <w:bottom w:val="single" w:sz="4" w:space="0" w:color="auto"/>
              <w:right w:val="single" w:sz="4" w:space="0" w:color="auto"/>
            </w:tcBorders>
            <w:shd w:val="clear" w:color="auto" w:fill="auto"/>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534B1A" w:rsidRDefault="00534B1A">
            <w:pPr>
              <w:jc w:val="center"/>
              <w:rPr>
                <w:rFonts w:ascii="Times New Roman CE" w:hAnsi="Times New Roman CE"/>
                <w:color w:val="FF0000"/>
                <w:sz w:val="22"/>
                <w:szCs w:val="22"/>
              </w:rPr>
            </w:pPr>
            <w:r>
              <w:rPr>
                <w:rFonts w:ascii="Times New Roman CE" w:hAnsi="Times New Roman CE"/>
                <w:color w:val="FF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34B1A" w:rsidRDefault="00534B1A">
            <w:pPr>
              <w:jc w:val="right"/>
              <w:rPr>
                <w:rFonts w:ascii="Times New Roman CE" w:hAnsi="Times New Roman CE"/>
                <w:sz w:val="22"/>
                <w:szCs w:val="22"/>
              </w:rPr>
            </w:pPr>
            <w:r>
              <w:rPr>
                <w:rFonts w:ascii="Times New Roman CE" w:hAnsi="Times New Roman CE"/>
                <w:sz w:val="22"/>
                <w:szCs w:val="22"/>
              </w:rPr>
              <w:t> </w:t>
            </w:r>
          </w:p>
        </w:tc>
        <w:tc>
          <w:tcPr>
            <w:tcW w:w="816" w:type="dxa"/>
            <w:tcBorders>
              <w:top w:val="nil"/>
              <w:left w:val="nil"/>
              <w:bottom w:val="single" w:sz="4" w:space="0" w:color="auto"/>
              <w:right w:val="single" w:sz="4" w:space="0" w:color="auto"/>
            </w:tcBorders>
            <w:shd w:val="clear" w:color="000000" w:fill="D8D8D8"/>
            <w:noWrap/>
            <w:vAlign w:val="bottom"/>
            <w:hideMark/>
          </w:tcPr>
          <w:p w:rsidR="00534B1A" w:rsidRDefault="00534B1A">
            <w:pPr>
              <w:jc w:val="right"/>
              <w:rPr>
                <w:rFonts w:ascii="Times New Roman CE" w:hAnsi="Times New Roman CE"/>
                <w:sz w:val="20"/>
                <w:szCs w:val="20"/>
              </w:rPr>
            </w:pPr>
            <w:r>
              <w:rPr>
                <w:rFonts w:ascii="Times New Roman CE" w:hAnsi="Times New Roman CE"/>
                <w:sz w:val="20"/>
                <w:szCs w:val="20"/>
              </w:rPr>
              <w:t>0,00</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r>
              <w:rPr>
                <w:rFonts w:ascii="Times New Roman CE" w:hAnsi="Times New Roman CE"/>
                <w:b/>
                <w:bCs/>
                <w:sz w:val="22"/>
                <w:szCs w:val="22"/>
              </w:rPr>
              <w:t>4</w:t>
            </w:r>
          </w:p>
        </w:tc>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p>
        </w:tc>
        <w:tc>
          <w:tcPr>
            <w:tcW w:w="6301" w:type="dxa"/>
            <w:tcBorders>
              <w:top w:val="nil"/>
              <w:left w:val="single" w:sz="4" w:space="0" w:color="auto"/>
              <w:bottom w:val="single" w:sz="4" w:space="0" w:color="auto"/>
              <w:right w:val="single" w:sz="4" w:space="0" w:color="auto"/>
            </w:tcBorders>
            <w:shd w:val="clear" w:color="000000" w:fill="E3E3E3"/>
            <w:noWrap/>
            <w:hideMark/>
          </w:tcPr>
          <w:p w:rsidR="00534B1A" w:rsidRDefault="00534B1A">
            <w:pPr>
              <w:jc w:val="both"/>
              <w:rPr>
                <w:rFonts w:ascii="Times New Roman CE" w:hAnsi="Times New Roman CE"/>
                <w:b/>
                <w:bCs/>
                <w:sz w:val="22"/>
                <w:szCs w:val="22"/>
              </w:rPr>
            </w:pPr>
            <w:r>
              <w:rPr>
                <w:rFonts w:ascii="Times New Roman CE" w:hAnsi="Times New Roman CE"/>
                <w:b/>
                <w:bCs/>
                <w:sz w:val="22"/>
                <w:szCs w:val="22"/>
              </w:rPr>
              <w:t>Parkiralište</w:t>
            </w:r>
          </w:p>
        </w:tc>
        <w:tc>
          <w:tcPr>
            <w:tcW w:w="1276" w:type="dxa"/>
            <w:tcBorders>
              <w:top w:val="nil"/>
              <w:left w:val="nil"/>
              <w:bottom w:val="single" w:sz="4" w:space="0" w:color="auto"/>
              <w:right w:val="single" w:sz="4" w:space="0" w:color="auto"/>
            </w:tcBorders>
            <w:shd w:val="clear" w:color="auto" w:fill="auto"/>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534B1A" w:rsidRDefault="00534B1A">
            <w:pPr>
              <w:jc w:val="center"/>
              <w:rPr>
                <w:rFonts w:ascii="Times New Roman CE" w:hAnsi="Times New Roman CE"/>
                <w:color w:val="FF0000"/>
                <w:sz w:val="22"/>
                <w:szCs w:val="22"/>
              </w:rPr>
            </w:pPr>
            <w:r>
              <w:rPr>
                <w:rFonts w:ascii="Times New Roman CE" w:hAnsi="Times New Roman CE"/>
                <w:color w:val="FF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34B1A" w:rsidRDefault="00534B1A">
            <w:pPr>
              <w:jc w:val="right"/>
              <w:rPr>
                <w:rFonts w:ascii="Times New Roman CE" w:hAnsi="Times New Roman CE"/>
                <w:sz w:val="22"/>
                <w:szCs w:val="22"/>
              </w:rPr>
            </w:pPr>
            <w:r>
              <w:rPr>
                <w:rFonts w:ascii="Times New Roman CE" w:hAnsi="Times New Roman CE"/>
                <w:sz w:val="22"/>
                <w:szCs w:val="22"/>
              </w:rPr>
              <w:t> </w:t>
            </w:r>
          </w:p>
        </w:tc>
        <w:tc>
          <w:tcPr>
            <w:tcW w:w="816" w:type="dxa"/>
            <w:tcBorders>
              <w:top w:val="nil"/>
              <w:left w:val="nil"/>
              <w:bottom w:val="single" w:sz="4" w:space="0" w:color="auto"/>
              <w:right w:val="single" w:sz="4" w:space="0" w:color="auto"/>
            </w:tcBorders>
            <w:shd w:val="clear" w:color="000000" w:fill="D8D8D8"/>
            <w:noWrap/>
            <w:vAlign w:val="bottom"/>
            <w:hideMark/>
          </w:tcPr>
          <w:p w:rsidR="00534B1A" w:rsidRDefault="00534B1A">
            <w:pPr>
              <w:jc w:val="right"/>
              <w:rPr>
                <w:rFonts w:ascii="Times New Roman CE" w:hAnsi="Times New Roman CE"/>
                <w:sz w:val="20"/>
                <w:szCs w:val="20"/>
              </w:rPr>
            </w:pPr>
            <w:r>
              <w:rPr>
                <w:rFonts w:ascii="Times New Roman CE" w:hAnsi="Times New Roman CE"/>
                <w:sz w:val="20"/>
                <w:szCs w:val="20"/>
              </w:rPr>
              <w:t>0,00</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r>
              <w:rPr>
                <w:rFonts w:ascii="Times New Roman CE" w:hAnsi="Times New Roman CE"/>
                <w:b/>
                <w:bCs/>
                <w:sz w:val="22"/>
                <w:szCs w:val="22"/>
              </w:rPr>
              <w:t>5</w:t>
            </w:r>
          </w:p>
        </w:tc>
        <w:tc>
          <w:tcPr>
            <w:tcW w:w="326" w:type="dxa"/>
            <w:tcBorders>
              <w:top w:val="nil"/>
              <w:left w:val="nil"/>
              <w:bottom w:val="nil"/>
              <w:right w:val="nil"/>
            </w:tcBorders>
            <w:shd w:val="clear" w:color="auto" w:fill="auto"/>
            <w:noWrap/>
            <w:hideMark/>
          </w:tcPr>
          <w:p w:rsidR="00534B1A" w:rsidRDefault="00534B1A">
            <w:pPr>
              <w:rPr>
                <w:rFonts w:ascii="Times New Roman CE" w:hAnsi="Times New Roman CE"/>
                <w:b/>
                <w:bCs/>
                <w:sz w:val="22"/>
                <w:szCs w:val="22"/>
              </w:rPr>
            </w:pPr>
          </w:p>
        </w:tc>
        <w:tc>
          <w:tcPr>
            <w:tcW w:w="6301" w:type="dxa"/>
            <w:tcBorders>
              <w:top w:val="nil"/>
              <w:left w:val="single" w:sz="4" w:space="0" w:color="auto"/>
              <w:bottom w:val="single" w:sz="4" w:space="0" w:color="auto"/>
              <w:right w:val="single" w:sz="4" w:space="0" w:color="auto"/>
            </w:tcBorders>
            <w:shd w:val="clear" w:color="000000" w:fill="E3E3E3"/>
            <w:noWrap/>
            <w:hideMark/>
          </w:tcPr>
          <w:p w:rsidR="00534B1A" w:rsidRDefault="00534B1A">
            <w:pPr>
              <w:jc w:val="both"/>
              <w:rPr>
                <w:rFonts w:ascii="Times New Roman CE" w:hAnsi="Times New Roman CE"/>
                <w:b/>
                <w:bCs/>
                <w:sz w:val="22"/>
                <w:szCs w:val="22"/>
              </w:rPr>
            </w:pPr>
            <w:r>
              <w:rPr>
                <w:rFonts w:ascii="Times New Roman CE" w:hAnsi="Times New Roman CE"/>
                <w:b/>
                <w:bCs/>
                <w:sz w:val="22"/>
                <w:szCs w:val="22"/>
              </w:rPr>
              <w:t>Ostali radovi</w:t>
            </w:r>
          </w:p>
        </w:tc>
        <w:tc>
          <w:tcPr>
            <w:tcW w:w="1276" w:type="dxa"/>
            <w:tcBorders>
              <w:top w:val="nil"/>
              <w:left w:val="nil"/>
              <w:bottom w:val="single" w:sz="4" w:space="0" w:color="auto"/>
              <w:right w:val="single" w:sz="4" w:space="0" w:color="auto"/>
            </w:tcBorders>
            <w:shd w:val="clear" w:color="auto" w:fill="auto"/>
            <w:vAlign w:val="bottom"/>
            <w:hideMark/>
          </w:tcPr>
          <w:p w:rsidR="00534B1A" w:rsidRDefault="00534B1A">
            <w:pPr>
              <w:jc w:val="center"/>
              <w:rPr>
                <w:rFonts w:ascii="Times New Roman CE" w:hAnsi="Times New Roman CE"/>
                <w:sz w:val="22"/>
                <w:szCs w:val="22"/>
              </w:rPr>
            </w:pPr>
            <w:r>
              <w:rPr>
                <w:rFonts w:ascii="Times New Roman CE" w:hAnsi="Times New Roman CE"/>
                <w:sz w:val="22"/>
                <w:szCs w:val="22"/>
              </w:rPr>
              <w:t> </w:t>
            </w:r>
          </w:p>
        </w:tc>
        <w:tc>
          <w:tcPr>
            <w:tcW w:w="1127" w:type="dxa"/>
            <w:tcBorders>
              <w:top w:val="nil"/>
              <w:left w:val="nil"/>
              <w:bottom w:val="single" w:sz="4" w:space="0" w:color="auto"/>
              <w:right w:val="single" w:sz="4" w:space="0" w:color="auto"/>
            </w:tcBorders>
            <w:shd w:val="clear" w:color="auto" w:fill="auto"/>
            <w:noWrap/>
            <w:vAlign w:val="bottom"/>
            <w:hideMark/>
          </w:tcPr>
          <w:p w:rsidR="00534B1A" w:rsidRDefault="00534B1A">
            <w:pPr>
              <w:jc w:val="center"/>
              <w:rPr>
                <w:rFonts w:ascii="Times New Roman CE" w:hAnsi="Times New Roman CE"/>
                <w:color w:val="FF0000"/>
                <w:sz w:val="22"/>
                <w:szCs w:val="22"/>
              </w:rPr>
            </w:pPr>
            <w:r>
              <w:rPr>
                <w:rFonts w:ascii="Times New Roman CE" w:hAnsi="Times New Roman CE"/>
                <w:color w:val="FF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534B1A" w:rsidRDefault="00534B1A">
            <w:pPr>
              <w:jc w:val="right"/>
              <w:rPr>
                <w:rFonts w:ascii="Times New Roman CE" w:hAnsi="Times New Roman CE"/>
                <w:sz w:val="22"/>
                <w:szCs w:val="22"/>
              </w:rPr>
            </w:pPr>
            <w:r>
              <w:rPr>
                <w:rFonts w:ascii="Times New Roman CE" w:hAnsi="Times New Roman CE"/>
                <w:sz w:val="22"/>
                <w:szCs w:val="22"/>
              </w:rPr>
              <w:t> </w:t>
            </w:r>
          </w:p>
        </w:tc>
        <w:tc>
          <w:tcPr>
            <w:tcW w:w="816" w:type="dxa"/>
            <w:tcBorders>
              <w:top w:val="nil"/>
              <w:left w:val="nil"/>
              <w:bottom w:val="single" w:sz="4" w:space="0" w:color="auto"/>
              <w:right w:val="single" w:sz="4" w:space="0" w:color="auto"/>
            </w:tcBorders>
            <w:shd w:val="clear" w:color="000000" w:fill="D8D8D8"/>
            <w:noWrap/>
            <w:vAlign w:val="bottom"/>
            <w:hideMark/>
          </w:tcPr>
          <w:p w:rsidR="00534B1A" w:rsidRDefault="00534B1A">
            <w:pPr>
              <w:jc w:val="right"/>
              <w:rPr>
                <w:rFonts w:ascii="Times New Roman CE" w:hAnsi="Times New Roman CE"/>
                <w:sz w:val="20"/>
                <w:szCs w:val="20"/>
              </w:rPr>
            </w:pPr>
            <w:r>
              <w:rPr>
                <w:rFonts w:ascii="Times New Roman CE" w:hAnsi="Times New Roman CE"/>
                <w:sz w:val="20"/>
                <w:szCs w:val="20"/>
              </w:rPr>
              <w:t>0,00</w:t>
            </w: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nil"/>
              <w:left w:val="nil"/>
              <w:bottom w:val="nil"/>
              <w:right w:val="nil"/>
            </w:tcBorders>
            <w:shd w:val="clear" w:color="auto" w:fill="auto"/>
            <w:hideMark/>
          </w:tcPr>
          <w:p w:rsidR="00534B1A" w:rsidRDefault="00534B1A">
            <w:pPr>
              <w:rPr>
                <w:color w:val="FF0000"/>
                <w:sz w:val="22"/>
                <w:szCs w:val="22"/>
              </w:rPr>
            </w:pPr>
          </w:p>
        </w:tc>
        <w:tc>
          <w:tcPr>
            <w:tcW w:w="1276" w:type="dxa"/>
            <w:tcBorders>
              <w:top w:val="nil"/>
              <w:left w:val="nil"/>
              <w:bottom w:val="nil"/>
              <w:right w:val="nil"/>
            </w:tcBorders>
            <w:shd w:val="clear" w:color="auto" w:fill="auto"/>
            <w:noWrap/>
            <w:vAlign w:val="bottom"/>
            <w:hideMark/>
          </w:tcPr>
          <w:p w:rsidR="00534B1A" w:rsidRDefault="00534B1A">
            <w:pPr>
              <w:jc w:val="center"/>
              <w:rPr>
                <w:sz w:val="22"/>
                <w:szCs w:val="22"/>
              </w:rPr>
            </w:pPr>
          </w:p>
        </w:tc>
        <w:tc>
          <w:tcPr>
            <w:tcW w:w="1127" w:type="dxa"/>
            <w:tcBorders>
              <w:top w:val="nil"/>
              <w:left w:val="nil"/>
              <w:bottom w:val="nil"/>
              <w:right w:val="nil"/>
            </w:tcBorders>
            <w:shd w:val="clear" w:color="auto" w:fill="auto"/>
            <w:noWrap/>
            <w:vAlign w:val="bottom"/>
            <w:hideMark/>
          </w:tcPr>
          <w:p w:rsidR="00534B1A" w:rsidRDefault="00534B1A">
            <w:pPr>
              <w:jc w:val="center"/>
              <w:rPr>
                <w:color w:val="FF0000"/>
                <w:sz w:val="22"/>
                <w:szCs w:val="22"/>
              </w:rPr>
            </w:pPr>
          </w:p>
        </w:tc>
        <w:tc>
          <w:tcPr>
            <w:tcW w:w="993" w:type="dxa"/>
            <w:tcBorders>
              <w:top w:val="nil"/>
              <w:left w:val="nil"/>
              <w:bottom w:val="nil"/>
              <w:right w:val="nil"/>
            </w:tcBorders>
            <w:shd w:val="clear" w:color="auto" w:fill="auto"/>
            <w:vAlign w:val="bottom"/>
            <w:hideMark/>
          </w:tcPr>
          <w:p w:rsidR="00534B1A" w:rsidRDefault="00534B1A">
            <w:pPr>
              <w:jc w:val="center"/>
              <w:rPr>
                <w:sz w:val="22"/>
                <w:szCs w:val="22"/>
              </w:rPr>
            </w:pPr>
          </w:p>
        </w:tc>
        <w:tc>
          <w:tcPr>
            <w:tcW w:w="816" w:type="dxa"/>
            <w:tcBorders>
              <w:top w:val="nil"/>
              <w:left w:val="nil"/>
              <w:bottom w:val="nil"/>
              <w:right w:val="nil"/>
            </w:tcBorders>
            <w:shd w:val="clear" w:color="auto" w:fill="auto"/>
            <w:noWrap/>
            <w:vAlign w:val="bottom"/>
            <w:hideMark/>
          </w:tcPr>
          <w:p w:rsidR="00534B1A" w:rsidRDefault="00534B1A">
            <w:pPr>
              <w:jc w:val="center"/>
              <w:rPr>
                <w:sz w:val="20"/>
                <w:szCs w:val="20"/>
              </w:rPr>
            </w:pPr>
          </w:p>
        </w:tc>
      </w:tr>
      <w:tr w:rsidR="00534B1A" w:rsidTr="00534B1A">
        <w:trPr>
          <w:trHeight w:val="280"/>
        </w:trPr>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326" w:type="dxa"/>
            <w:tcBorders>
              <w:top w:val="nil"/>
              <w:left w:val="nil"/>
              <w:bottom w:val="nil"/>
              <w:right w:val="nil"/>
            </w:tcBorders>
            <w:shd w:val="clear" w:color="auto" w:fill="auto"/>
            <w:noWrap/>
            <w:hideMark/>
          </w:tcPr>
          <w:p w:rsidR="00534B1A" w:rsidRDefault="00534B1A">
            <w:pPr>
              <w:jc w:val="both"/>
              <w:rPr>
                <w:sz w:val="22"/>
                <w:szCs w:val="22"/>
              </w:rPr>
            </w:pPr>
          </w:p>
        </w:tc>
        <w:tc>
          <w:tcPr>
            <w:tcW w:w="6301" w:type="dxa"/>
            <w:tcBorders>
              <w:top w:val="single" w:sz="4" w:space="0" w:color="auto"/>
              <w:left w:val="single" w:sz="4" w:space="0" w:color="auto"/>
              <w:bottom w:val="single" w:sz="4" w:space="0" w:color="auto"/>
              <w:right w:val="single" w:sz="4" w:space="0" w:color="auto"/>
            </w:tcBorders>
            <w:shd w:val="clear" w:color="000000" w:fill="E3E3E3"/>
            <w:hideMark/>
          </w:tcPr>
          <w:p w:rsidR="00534B1A" w:rsidRDefault="00534B1A">
            <w:pPr>
              <w:jc w:val="right"/>
              <w:rPr>
                <w:b/>
                <w:bCs/>
                <w:sz w:val="22"/>
                <w:szCs w:val="22"/>
              </w:rPr>
            </w:pPr>
            <w:r>
              <w:rPr>
                <w:b/>
                <w:bCs/>
                <w:sz w:val="22"/>
                <w:szCs w:val="22"/>
              </w:rPr>
              <w:t>ukupno: (kn):</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534B1A" w:rsidRDefault="00534B1A">
            <w:pPr>
              <w:jc w:val="center"/>
              <w:rPr>
                <w:sz w:val="22"/>
                <w:szCs w:val="22"/>
              </w:rPr>
            </w:pPr>
            <w:r>
              <w:rPr>
                <w:sz w:val="22"/>
                <w:szCs w:val="22"/>
              </w:rPr>
              <w:t> </w:t>
            </w:r>
          </w:p>
        </w:tc>
        <w:tc>
          <w:tcPr>
            <w:tcW w:w="1127" w:type="dxa"/>
            <w:tcBorders>
              <w:top w:val="single" w:sz="4" w:space="0" w:color="auto"/>
              <w:left w:val="nil"/>
              <w:bottom w:val="single" w:sz="4" w:space="0" w:color="auto"/>
              <w:right w:val="single" w:sz="4" w:space="0" w:color="auto"/>
            </w:tcBorders>
            <w:shd w:val="clear" w:color="auto" w:fill="auto"/>
            <w:noWrap/>
            <w:vAlign w:val="bottom"/>
            <w:hideMark/>
          </w:tcPr>
          <w:p w:rsidR="00534B1A" w:rsidRDefault="00534B1A">
            <w:pPr>
              <w:jc w:val="center"/>
              <w:rPr>
                <w:color w:val="FF0000"/>
                <w:sz w:val="22"/>
                <w:szCs w:val="22"/>
              </w:rPr>
            </w:pPr>
            <w:r>
              <w:rPr>
                <w:color w:val="FF0000"/>
                <w:sz w:val="22"/>
                <w:szCs w:val="22"/>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534B1A" w:rsidRDefault="00534B1A">
            <w:pPr>
              <w:jc w:val="center"/>
              <w:rPr>
                <w:sz w:val="22"/>
                <w:szCs w:val="22"/>
              </w:rPr>
            </w:pPr>
            <w:r>
              <w:rPr>
                <w:sz w:val="22"/>
                <w:szCs w:val="22"/>
              </w:rPr>
              <w:t> </w:t>
            </w:r>
          </w:p>
        </w:tc>
        <w:tc>
          <w:tcPr>
            <w:tcW w:w="816" w:type="dxa"/>
            <w:tcBorders>
              <w:top w:val="single" w:sz="4" w:space="0" w:color="auto"/>
              <w:left w:val="nil"/>
              <w:bottom w:val="single" w:sz="4" w:space="0" w:color="auto"/>
              <w:right w:val="single" w:sz="4" w:space="0" w:color="auto"/>
            </w:tcBorders>
            <w:shd w:val="clear" w:color="000000" w:fill="D8D8D8"/>
            <w:noWrap/>
            <w:vAlign w:val="bottom"/>
            <w:hideMark/>
          </w:tcPr>
          <w:p w:rsidR="00534B1A" w:rsidRDefault="00534B1A">
            <w:pPr>
              <w:jc w:val="right"/>
              <w:rPr>
                <w:sz w:val="16"/>
                <w:szCs w:val="16"/>
              </w:rPr>
            </w:pPr>
            <w:r>
              <w:rPr>
                <w:sz w:val="16"/>
                <w:szCs w:val="16"/>
              </w:rPr>
              <w:t>0,00</w:t>
            </w:r>
          </w:p>
        </w:tc>
      </w:tr>
    </w:tbl>
    <w:p w:rsidR="00540563" w:rsidRDefault="00540563" w:rsidP="00622EB5">
      <w:pPr>
        <w:rPr>
          <w:b/>
          <w:sz w:val="22"/>
          <w:szCs w:val="22"/>
        </w:rPr>
      </w:pPr>
    </w:p>
    <w:p w:rsidR="00540563" w:rsidRDefault="00540563" w:rsidP="00622EB5">
      <w:pPr>
        <w:rPr>
          <w:b/>
          <w:sz w:val="22"/>
          <w:szCs w:val="22"/>
        </w:rPr>
      </w:pPr>
    </w:p>
    <w:p w:rsidR="00540563" w:rsidRDefault="00540563" w:rsidP="00622EB5">
      <w:pPr>
        <w:rPr>
          <w:b/>
          <w:sz w:val="22"/>
          <w:szCs w:val="22"/>
        </w:rPr>
      </w:pPr>
    </w:p>
    <w:p w:rsidR="00540563" w:rsidRDefault="00540563" w:rsidP="00622EB5">
      <w:pPr>
        <w:rPr>
          <w:b/>
          <w:sz w:val="22"/>
          <w:szCs w:val="22"/>
        </w:rPr>
      </w:pPr>
    </w:p>
    <w:p w:rsidR="00540563" w:rsidRDefault="00540563" w:rsidP="00622EB5">
      <w:pPr>
        <w:rPr>
          <w:b/>
          <w:sz w:val="22"/>
          <w:szCs w:val="22"/>
        </w:rPr>
      </w:pP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622EB5" w:rsidRPr="00CF5FD0" w:rsidRDefault="00733DBF" w:rsidP="00733DBF">
            <w:pPr>
              <w:autoSpaceDE w:val="0"/>
              <w:autoSpaceDN w:val="0"/>
              <w:adjustRightInd w:val="0"/>
              <w:rPr>
                <w:b/>
                <w:sz w:val="22"/>
                <w:szCs w:val="22"/>
              </w:rPr>
            </w:pPr>
            <w:r>
              <w:t>Radovi rekonstrukcije prometnice, prometne signalizacije i šetališta Školske ulice u naselju Gračac.</w:t>
            </w:r>
            <w:r w:rsidRPr="00517626">
              <w:t xml:space="preserve">  </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733DBF">
            <w:pPr>
              <w:rPr>
                <w:b/>
                <w:sz w:val="22"/>
                <w:szCs w:val="22"/>
              </w:rPr>
            </w:pPr>
            <w:r w:rsidRPr="00CF5FD0">
              <w:rPr>
                <w:b/>
                <w:sz w:val="22"/>
                <w:szCs w:val="22"/>
                <w:lang w:val="pl-PL"/>
              </w:rPr>
              <w:t xml:space="preserve">MJESTO ISPORUKE RADOVA : </w:t>
            </w:r>
            <w:r w:rsidR="00733DBF">
              <w:rPr>
                <w:b/>
                <w:sz w:val="22"/>
                <w:szCs w:val="22"/>
                <w:lang w:val="pl-PL"/>
              </w:rPr>
              <w:t>Školska ulica</w:t>
            </w:r>
            <w:r w:rsidR="00563566">
              <w:rPr>
                <w:b/>
                <w:sz w:val="22"/>
                <w:szCs w:val="22"/>
                <w:lang w:val="pl-PL"/>
              </w:rPr>
              <w:t>, n</w:t>
            </w:r>
            <w:r w:rsidR="00C54834">
              <w:rPr>
                <w:b/>
                <w:sz w:val="22"/>
                <w:szCs w:val="22"/>
                <w:lang w:val="pl-PL"/>
              </w:rPr>
              <w:t>aselje Gračac, Općina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F65F2B">
            <w:pPr>
              <w:rPr>
                <w:b/>
                <w:sz w:val="22"/>
                <w:szCs w:val="22"/>
              </w:rPr>
            </w:pPr>
            <w:r w:rsidRPr="00CF5FD0">
              <w:rPr>
                <w:b/>
                <w:sz w:val="22"/>
                <w:szCs w:val="22"/>
                <w:lang w:val="pl-PL"/>
              </w:rPr>
              <w:t xml:space="preserve">ROK ISPORUKE: u roku od </w:t>
            </w:r>
            <w:r w:rsidR="00F65F2B">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733DBF">
            <w:pPr>
              <w:jc w:val="center"/>
              <w:rPr>
                <w:b/>
                <w:sz w:val="22"/>
                <w:szCs w:val="22"/>
              </w:rPr>
            </w:pPr>
            <w:r w:rsidRPr="00CF5FD0">
              <w:rPr>
                <w:sz w:val="22"/>
                <w:szCs w:val="22"/>
              </w:rPr>
              <w:t>Dana________________ 201</w:t>
            </w:r>
            <w:r w:rsidR="00733DBF">
              <w:rPr>
                <w:sz w:val="22"/>
                <w:szCs w:val="22"/>
              </w:rPr>
              <w:t>7</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EF" w:rsidRDefault="00E86FEF">
      <w:r>
        <w:separator/>
      </w:r>
    </w:p>
  </w:endnote>
  <w:endnote w:type="continuationSeparator" w:id="0">
    <w:p w:rsidR="00E86FEF" w:rsidRDefault="00E86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Sans Serif">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069" w:rsidRDefault="00E86FEF">
    <w:pPr>
      <w:pStyle w:val="Podnoje"/>
      <w:jc w:val="right"/>
    </w:pPr>
    <w:r>
      <w:fldChar w:fldCharType="begin"/>
    </w:r>
    <w:r>
      <w:instrText xml:space="preserve"> PAGE   \* MERGEFORMAT </w:instrText>
    </w:r>
    <w:r>
      <w:fldChar w:fldCharType="separate"/>
    </w:r>
    <w:r w:rsidR="00D60428">
      <w:rPr>
        <w:noProof/>
      </w:rPr>
      <w:t>1</w:t>
    </w:r>
    <w:r>
      <w:rPr>
        <w:noProof/>
      </w:rPr>
      <w:fldChar w:fldCharType="end"/>
    </w:r>
  </w:p>
  <w:p w:rsidR="004F7069" w:rsidRDefault="004F706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EF" w:rsidRDefault="00E86FEF">
      <w:r>
        <w:separator/>
      </w:r>
    </w:p>
  </w:footnote>
  <w:footnote w:type="continuationSeparator" w:id="0">
    <w:p w:rsidR="00E86FEF" w:rsidRDefault="00E86F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4">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51308"/>
    <w:rsid w:val="000562C4"/>
    <w:rsid w:val="00085412"/>
    <w:rsid w:val="000906B6"/>
    <w:rsid w:val="00094A58"/>
    <w:rsid w:val="000A2263"/>
    <w:rsid w:val="000E788C"/>
    <w:rsid w:val="000E7AC0"/>
    <w:rsid w:val="0010083B"/>
    <w:rsid w:val="00116FD4"/>
    <w:rsid w:val="001612EF"/>
    <w:rsid w:val="00166CC1"/>
    <w:rsid w:val="001722D4"/>
    <w:rsid w:val="001743F4"/>
    <w:rsid w:val="00201A6F"/>
    <w:rsid w:val="00212CB1"/>
    <w:rsid w:val="00244A4B"/>
    <w:rsid w:val="002A2766"/>
    <w:rsid w:val="002E00E4"/>
    <w:rsid w:val="002F609F"/>
    <w:rsid w:val="0030362D"/>
    <w:rsid w:val="00304F82"/>
    <w:rsid w:val="00346FF8"/>
    <w:rsid w:val="00367822"/>
    <w:rsid w:val="0037689A"/>
    <w:rsid w:val="003847C3"/>
    <w:rsid w:val="003D3C35"/>
    <w:rsid w:val="003E17B0"/>
    <w:rsid w:val="003F6ACF"/>
    <w:rsid w:val="004442FE"/>
    <w:rsid w:val="00493E42"/>
    <w:rsid w:val="004D69CD"/>
    <w:rsid w:val="004D6BC5"/>
    <w:rsid w:val="004E27E5"/>
    <w:rsid w:val="004F222B"/>
    <w:rsid w:val="004F7069"/>
    <w:rsid w:val="00501056"/>
    <w:rsid w:val="00517626"/>
    <w:rsid w:val="00530F58"/>
    <w:rsid w:val="00532E59"/>
    <w:rsid w:val="00534B1A"/>
    <w:rsid w:val="00536B5A"/>
    <w:rsid w:val="00540563"/>
    <w:rsid w:val="00563566"/>
    <w:rsid w:val="005A64B4"/>
    <w:rsid w:val="005B6D62"/>
    <w:rsid w:val="005D1925"/>
    <w:rsid w:val="00607D85"/>
    <w:rsid w:val="00616B9F"/>
    <w:rsid w:val="00622EB5"/>
    <w:rsid w:val="00630F2D"/>
    <w:rsid w:val="00635EC6"/>
    <w:rsid w:val="006375BA"/>
    <w:rsid w:val="006858C8"/>
    <w:rsid w:val="00691BAE"/>
    <w:rsid w:val="006F450F"/>
    <w:rsid w:val="007065A2"/>
    <w:rsid w:val="007068D6"/>
    <w:rsid w:val="007214A8"/>
    <w:rsid w:val="00732036"/>
    <w:rsid w:val="00733DBF"/>
    <w:rsid w:val="00783BCF"/>
    <w:rsid w:val="00797EF5"/>
    <w:rsid w:val="007C0784"/>
    <w:rsid w:val="007D4948"/>
    <w:rsid w:val="007F5981"/>
    <w:rsid w:val="007F745B"/>
    <w:rsid w:val="0081072F"/>
    <w:rsid w:val="00811E90"/>
    <w:rsid w:val="00844EE4"/>
    <w:rsid w:val="00862865"/>
    <w:rsid w:val="008C4AF2"/>
    <w:rsid w:val="009012A3"/>
    <w:rsid w:val="00901313"/>
    <w:rsid w:val="0090349C"/>
    <w:rsid w:val="00933492"/>
    <w:rsid w:val="009347E3"/>
    <w:rsid w:val="009724C4"/>
    <w:rsid w:val="009B5574"/>
    <w:rsid w:val="009C36F6"/>
    <w:rsid w:val="009D5CA0"/>
    <w:rsid w:val="009E5245"/>
    <w:rsid w:val="00A25B18"/>
    <w:rsid w:val="00A34BCD"/>
    <w:rsid w:val="00A727BC"/>
    <w:rsid w:val="00A94A79"/>
    <w:rsid w:val="00AD5311"/>
    <w:rsid w:val="00B00DD2"/>
    <w:rsid w:val="00B05C28"/>
    <w:rsid w:val="00B15313"/>
    <w:rsid w:val="00B368A3"/>
    <w:rsid w:val="00B67FCC"/>
    <w:rsid w:val="00B916CC"/>
    <w:rsid w:val="00BB454E"/>
    <w:rsid w:val="00BD6CAD"/>
    <w:rsid w:val="00BE6259"/>
    <w:rsid w:val="00C224E5"/>
    <w:rsid w:val="00C375E3"/>
    <w:rsid w:val="00C444F7"/>
    <w:rsid w:val="00C4465F"/>
    <w:rsid w:val="00C54834"/>
    <w:rsid w:val="00C73D7E"/>
    <w:rsid w:val="00C77A6A"/>
    <w:rsid w:val="00CC4646"/>
    <w:rsid w:val="00CF5FD0"/>
    <w:rsid w:val="00D33DB3"/>
    <w:rsid w:val="00D468B4"/>
    <w:rsid w:val="00D60428"/>
    <w:rsid w:val="00DA6FC9"/>
    <w:rsid w:val="00DC2DC6"/>
    <w:rsid w:val="00DC4930"/>
    <w:rsid w:val="00DE0FC9"/>
    <w:rsid w:val="00E04CA1"/>
    <w:rsid w:val="00E054DE"/>
    <w:rsid w:val="00E86FEF"/>
    <w:rsid w:val="00EA0B0E"/>
    <w:rsid w:val="00EA1F2E"/>
    <w:rsid w:val="00EE4F7B"/>
    <w:rsid w:val="00EE6DA7"/>
    <w:rsid w:val="00EE7841"/>
    <w:rsid w:val="00F06473"/>
    <w:rsid w:val="00F10175"/>
    <w:rsid w:val="00F10E86"/>
    <w:rsid w:val="00F21307"/>
    <w:rsid w:val="00F31CAA"/>
    <w:rsid w:val="00F65F2B"/>
    <w:rsid w:val="00F6788C"/>
    <w:rsid w:val="00F8743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basedOn w:val="Normal"/>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rsid w:val="004F7069"/>
    <w:pPr>
      <w:tabs>
        <w:tab w:val="center" w:pos="4536"/>
        <w:tab w:val="right" w:pos="9072"/>
      </w:tabs>
    </w:pPr>
  </w:style>
  <w:style w:type="character" w:customStyle="1" w:styleId="ZaglavljeChar">
    <w:name w:val="Zaglavlje Char"/>
    <w:basedOn w:val="Zadanifontodlomka"/>
    <w:link w:val="Zaglavlje"/>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basedOn w:val="Normal"/>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rsid w:val="004F7069"/>
    <w:pPr>
      <w:tabs>
        <w:tab w:val="center" w:pos="4536"/>
        <w:tab w:val="right" w:pos="9072"/>
      </w:tabs>
    </w:pPr>
  </w:style>
  <w:style w:type="character" w:customStyle="1" w:styleId="ZaglavljeChar">
    <w:name w:val="Zaglavlje Char"/>
    <w:basedOn w:val="Zadanifontodlomka"/>
    <w:link w:val="Zaglavlje"/>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racac.h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gracac@gracac.hr" TargetMode="External"/><Relationship Id="rId10" Type="http://schemas.openxmlformats.org/officeDocument/2006/relationships/hyperlink" Target="http://www.gracac.h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racac@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F288B-8EED-44BF-940F-134F5BFFE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7043</Words>
  <Characters>40147</Characters>
  <Application>Microsoft Office Word</Application>
  <DocSecurity>0</DocSecurity>
  <Lines>334</Lines>
  <Paragraphs>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ompany>
  <LinksUpToDate>false</LinksUpToDate>
  <CharactersWithSpaces>47096</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stuskan</dc:creator>
  <cp:lastModifiedBy>Korisnik</cp:lastModifiedBy>
  <cp:revision>2</cp:revision>
  <cp:lastPrinted>2017-07-19T05:57:00Z</cp:lastPrinted>
  <dcterms:created xsi:type="dcterms:W3CDTF">2017-07-20T09:43:00Z</dcterms:created>
  <dcterms:modified xsi:type="dcterms:W3CDTF">2017-07-20T09:43:00Z</dcterms:modified>
</cp:coreProperties>
</file>