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BC83" w14:textId="6356A904" w:rsidR="008E51EA" w:rsidRP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            </w:t>
      </w:r>
      <w:r>
        <w:rPr>
          <w:rFonts w:ascii="Palatino Linotype" w:eastAsia="Times New Roman" w:hAnsi="Palatino Linotype" w:cs="Arial"/>
          <w:noProof/>
          <w:color w:val="000000" w:themeColor="text1"/>
          <w:lang w:eastAsia="hr-HR"/>
          <w14:ligatures w14:val="none"/>
        </w:rPr>
        <w:drawing>
          <wp:inline distT="0" distB="0" distL="0" distR="0" wp14:anchorId="0303D79C" wp14:editId="59D1DEA1">
            <wp:extent cx="640080" cy="817245"/>
            <wp:effectExtent l="0" t="0" r="7620" b="1905"/>
            <wp:docPr id="8504911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054C4" w14:textId="77777777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</w:p>
    <w:p w14:paraId="457B8B2F" w14:textId="03CA6E26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REPUBLIKA HRVATSKA</w:t>
      </w:r>
    </w:p>
    <w:p w14:paraId="2F975CDF" w14:textId="77777777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ZADARSKA ŽUPANIJA</w:t>
      </w:r>
    </w:p>
    <w:p w14:paraId="5CD2A5D6" w14:textId="77777777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OPĆINA GRAČAC</w:t>
      </w:r>
    </w:p>
    <w:p w14:paraId="1830DFE1" w14:textId="77777777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OPĆINSKI NAČELNIK</w:t>
      </w:r>
    </w:p>
    <w:p w14:paraId="26098C1D" w14:textId="371547D2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KLASA: 335-01/25-01/</w:t>
      </w:r>
      <w:r w:rsidR="00D966F3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1</w:t>
      </w:r>
    </w:p>
    <w:p w14:paraId="5750F20D" w14:textId="4A5196DC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URBROJ: 2198-31-01-25-</w:t>
      </w:r>
      <w:r w:rsidR="00D966F3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1</w:t>
      </w:r>
    </w:p>
    <w:p w14:paraId="53736167" w14:textId="30883827" w:rsidR="008E51EA" w:rsidRPr="00D24CDD" w:rsidRDefault="008E51EA" w:rsidP="008E51EA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 xml:space="preserve">Gračac, </w:t>
      </w:r>
      <w:r w:rsidR="00D966F3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30. srpnja</w:t>
      </w:r>
      <w:r w:rsidRPr="00D24CDD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 xml:space="preserve"> 2025. godine</w:t>
      </w:r>
    </w:p>
    <w:p w14:paraId="3B4D594E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359D40AC" w14:textId="3EC4790D" w:rsidR="008E51EA" w:rsidRDefault="00D24CDD" w:rsidP="00D24CDD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           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Na temelju članka 9. Zakona o ugostiteljskoj djelatnosti („Narodne novine“ broj 85/15,  121/16, 99/18,  25/19,  98/19,  32/20,  42/20,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126/21</w:t>
      </w:r>
      <w:r w:rsidR="00427375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, 152/24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),  članka  6.  Odluke  o ugostiteljskoj djelatnosti na području Općine Gračac („Službeni glasnik Općine Gračac“</w:t>
      </w:r>
      <w:r w:rsidR="00D966F3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5/15) i članka 47. Statuta Općine Gračac (</w:t>
      </w:r>
      <w:r w:rsidR="00D966F3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„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Službeni glasnik Zadarske županije</w:t>
      </w:r>
      <w:r w:rsidR="00D966F3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“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11/13, „Službeni glasnik Općine Gračac“ 1/18, 1/20, 4/21)</w:t>
      </w:r>
      <w:r w:rsidR="00D966F3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donosim</w:t>
      </w:r>
    </w:p>
    <w:p w14:paraId="25F7520C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3017ADF6" w14:textId="77777777" w:rsidR="008E51EA" w:rsidRPr="008E51EA" w:rsidRDefault="008E51EA" w:rsidP="008E51EA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Odluku</w:t>
      </w:r>
    </w:p>
    <w:p w14:paraId="2A5C786F" w14:textId="77777777" w:rsidR="008E51EA" w:rsidRDefault="008E51EA" w:rsidP="008E51EA">
      <w:pPr>
        <w:spacing w:after="0" w:line="240" w:lineRule="auto"/>
        <w:jc w:val="center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o produženju radnog vremena ugostiteljskih objekata</w:t>
      </w:r>
    </w:p>
    <w:p w14:paraId="5F7299D5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53FB9734" w14:textId="69D7C9AC" w:rsidR="008E51EA" w:rsidRPr="008E51EA" w:rsidRDefault="008E51EA" w:rsidP="008E51EA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Članak 1.</w:t>
      </w:r>
    </w:p>
    <w:p w14:paraId="19E8F6D2" w14:textId="15A7A210" w:rsidR="008E51EA" w:rsidRDefault="00D966F3" w:rsidP="00D966F3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           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Svi ugostiteljski objekti iz skupine „Restorani i Barovi“  na  području Općine Gračac mogu produžiti radno vrijeme prigodom manifestacije „Kulturno ljeto Općine Gračac 202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5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. godine“ počevši od 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1.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do 6. kolovoza 202</w:t>
      </w:r>
      <w:r w:rsidR="00FB61FE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5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. godine, kada mogu raditi najduže do 04,00 sat</w:t>
      </w:r>
      <w:r w:rsidR="00427375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a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ujutro, a ozvučenje otvorenih prostora objekata može trajati najduže do 0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2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,00 sat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a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.</w:t>
      </w:r>
    </w:p>
    <w:p w14:paraId="03CBC68A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68F3AC4D" w14:textId="7F51E504" w:rsidR="008E51EA" w:rsidRPr="008E51EA" w:rsidRDefault="008E51EA" w:rsidP="008E51EA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Članak 2.</w:t>
      </w:r>
    </w:p>
    <w:p w14:paraId="0FABF2CC" w14:textId="74085B76" w:rsidR="008E51EA" w:rsidRDefault="00D966F3" w:rsidP="00D966F3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           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Produženo radno vrijeme iz članka 1. ove Odluke odobrava se uz obvezu ugostitelja da se pridržavaju odredbi Zakona o zaštiti od buke </w:t>
      </w:r>
      <w:r w:rsidR="00427375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(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„Narodne novine“ broj 30/09, 55/13,</w:t>
      </w: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>153/13,  41/16, 114/18 i 14/21), Odluke o dozvoljenom prekoračenju najviše dopuštene razine buke („Službeni glasnik Općine Gračac“ 2/17) i propisa koji uređuju javni red i mir.</w:t>
      </w:r>
    </w:p>
    <w:p w14:paraId="34B0148F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57350A28" w14:textId="77777777" w:rsidR="008E51EA" w:rsidRPr="008E51EA" w:rsidRDefault="008E51EA" w:rsidP="008E51EA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Članak 3.</w:t>
      </w:r>
    </w:p>
    <w:p w14:paraId="5C4EC267" w14:textId="585C9338" w:rsidR="008E51EA" w:rsidRDefault="00D966F3" w:rsidP="00D966F3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           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Ova Odluka stupa na snagu danom donošenja, a objavit će se na službenoj internetskoj stranici Općine Gračac </w:t>
      </w:r>
      <w:hyperlink r:id="rId5" w:history="1">
        <w:r w:rsidRPr="008E51EA">
          <w:rPr>
            <w:rStyle w:val="Hiperveza"/>
            <w:rFonts w:ascii="Palatino Linotype" w:eastAsia="Times New Roman" w:hAnsi="Palatino Linotype" w:cs="Arial"/>
            <w:lang w:eastAsia="hr-HR"/>
            <w14:ligatures w14:val="none"/>
          </w:rPr>
          <w:t>www.gracac.hr</w:t>
        </w:r>
      </w:hyperlink>
      <w:r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 </w:t>
      </w:r>
      <w:r w:rsidR="008E51EA" w:rsidRPr="008E51EA"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  <w:t xml:space="preserve">. </w:t>
      </w:r>
    </w:p>
    <w:p w14:paraId="082BDFA6" w14:textId="77777777" w:rsidR="008E51EA" w:rsidRDefault="008E51EA" w:rsidP="008E51EA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lang w:eastAsia="hr-HR"/>
          <w14:ligatures w14:val="none"/>
        </w:rPr>
      </w:pPr>
    </w:p>
    <w:p w14:paraId="472C09FE" w14:textId="77777777" w:rsidR="008E51EA" w:rsidRPr="008E51EA" w:rsidRDefault="008E51EA" w:rsidP="008E51EA">
      <w:pPr>
        <w:spacing w:after="0" w:line="24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OPĆINSKI NAČELNIK</w:t>
      </w:r>
    </w:p>
    <w:p w14:paraId="1FDD66E0" w14:textId="3617C359" w:rsidR="00635258" w:rsidRPr="008E51EA" w:rsidRDefault="008E51EA" w:rsidP="008E51EA">
      <w:pPr>
        <w:jc w:val="right"/>
        <w:rPr>
          <w:b/>
          <w:bCs/>
        </w:rPr>
      </w:pPr>
      <w:r w:rsidRPr="008E51EA">
        <w:rPr>
          <w:rFonts w:ascii="Palatino Linotype" w:eastAsia="Times New Roman" w:hAnsi="Palatino Linotype" w:cs="Arial"/>
          <w:b/>
          <w:bCs/>
          <w:color w:val="000000" w:themeColor="text1"/>
          <w:lang w:eastAsia="hr-HR"/>
          <w14:ligatures w14:val="none"/>
        </w:rPr>
        <w:t>Goran Đekić</w:t>
      </w:r>
    </w:p>
    <w:sectPr w:rsidR="00635258" w:rsidRPr="008E51EA" w:rsidSect="009E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83"/>
    <w:rsid w:val="002D10D8"/>
    <w:rsid w:val="002D555C"/>
    <w:rsid w:val="00427375"/>
    <w:rsid w:val="005E111C"/>
    <w:rsid w:val="00635258"/>
    <w:rsid w:val="008E51EA"/>
    <w:rsid w:val="009E1247"/>
    <w:rsid w:val="00C06D83"/>
    <w:rsid w:val="00D24CDD"/>
    <w:rsid w:val="00D966F3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C5C"/>
  <w15:chartTrackingRefBased/>
  <w15:docId w15:val="{AE442AFB-1C7C-41F0-9EAF-1C5C8F8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0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6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6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6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6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6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6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6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6D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6D8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6D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6D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6D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6D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6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6D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6D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6D8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6D8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6D83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966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6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4</cp:revision>
  <dcterms:created xsi:type="dcterms:W3CDTF">2025-07-30T08:03:00Z</dcterms:created>
  <dcterms:modified xsi:type="dcterms:W3CDTF">2025-07-30T11:03:00Z</dcterms:modified>
</cp:coreProperties>
</file>