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object w:dxaOrig="972" w:dyaOrig="1244">
          <v:rect xmlns:o="urn:schemas-microsoft-com:office:office" xmlns:v="urn:schemas-microsoft-com:vml" id="rectole0000000000" style="width:48.600000pt;height:6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REPUBLIKA HRVATSKA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ZADARSKA ŽUPANIJA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ĆINA GRAČAC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ĆINSKA NAČELNICA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KLASA: 406-01/14-01/02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URBROJ: 2198/31-01-14-2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GRA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ČAC, 23. srpnja 2014. g.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Na temelju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članka 20. Zakona o javnoj nabavi ( Narodne novine br. 90/11, 83/13 i 143/13) i čl. 47. Statuta Općine Gračac («Službeni glasnik Zadarske županije» 11/13), općinska načelnica Općine Gračac donosi</w:t>
      </w:r>
    </w:p>
    <w:p>
      <w:pPr>
        <w:spacing w:before="0" w:after="0" w:line="240"/>
        <w:ind w:right="0" w:left="0" w:firstLine="708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ODLUKU O DONOŠENJU</w:t>
      </w: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I. IZMJENA I DOPUNA PLANA NABAVE OP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ĆINE GRAČAC</w:t>
      </w: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ZA 2014. GODINU</w:t>
      </w: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Članak 1.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ab/>
        <w:t xml:space="preserve">Donose se I. Izmjene i dopune Plana nabave Op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ćine Gračac za 2014. godinu.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Članak 2.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ab/>
        <w:t xml:space="preserve">Tabli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čni prikaz I. Izmjena i dopuna Plana nabave iz članka 1. ove Odluke se prilaže i sastavni je dio ove Odluke.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Članak 3.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ab/>
        <w:t xml:space="preserve">Ova Odluka objavit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će se u «Službenom glasniku Općine Gračac» i na internetskim stranicama Općine Gračac.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OP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ĆINSKA NAČELNICA: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Nataša Turbi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ć, prof.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