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AD1" w:rsidRPr="002B6AD1" w:rsidRDefault="002B6AD1" w:rsidP="002B6AD1">
      <w:pPr>
        <w:pStyle w:val="NoSpacing"/>
        <w:rPr>
          <w:rFonts w:ascii="Arial" w:hAnsi="Arial" w:cs="Arial"/>
          <w:sz w:val="24"/>
          <w:szCs w:val="24"/>
        </w:rPr>
      </w:pPr>
      <w:r w:rsidRPr="002B6AD1">
        <w:rPr>
          <w:rFonts w:ascii="Arial" w:hAnsi="Arial" w:cs="Arial"/>
          <w:noProof/>
          <w:sz w:val="24"/>
          <w:szCs w:val="24"/>
        </w:rPr>
        <w:drawing>
          <wp:anchor distT="0" distB="0" distL="114300" distR="114300" simplePos="0" relativeHeight="251659264" behindDoc="1" locked="0" layoutInCell="1" allowOverlap="1">
            <wp:simplePos x="0" y="0"/>
            <wp:positionH relativeFrom="column">
              <wp:posOffset>574343</wp:posOffset>
            </wp:positionH>
            <wp:positionV relativeFrom="paragraph">
              <wp:posOffset>-390911</wp:posOffset>
            </wp:positionV>
            <wp:extent cx="481579" cy="636104"/>
            <wp:effectExtent l="19050" t="0" r="0" b="0"/>
            <wp:wrapNone/>
            <wp:docPr id="5" name="Picture 3" descr="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 RH"/>
                    <pic:cNvPicPr>
                      <a:picLocks noChangeAspect="1" noChangeArrowheads="1"/>
                    </pic:cNvPicPr>
                  </pic:nvPicPr>
                  <pic:blipFill>
                    <a:blip r:embed="rId8" cstate="print"/>
                    <a:srcRect/>
                    <a:stretch>
                      <a:fillRect/>
                    </a:stretch>
                  </pic:blipFill>
                  <pic:spPr bwMode="auto">
                    <a:xfrm>
                      <a:off x="0" y="0"/>
                      <a:ext cx="481579" cy="636104"/>
                    </a:xfrm>
                    <a:prstGeom prst="rect">
                      <a:avLst/>
                    </a:prstGeom>
                    <a:noFill/>
                  </pic:spPr>
                </pic:pic>
              </a:graphicData>
            </a:graphic>
          </wp:anchor>
        </w:drawing>
      </w:r>
    </w:p>
    <w:p w:rsidR="002B6AD1" w:rsidRPr="002B6AD1" w:rsidRDefault="002B6AD1" w:rsidP="002B6AD1">
      <w:pPr>
        <w:pStyle w:val="NoSpacing"/>
        <w:rPr>
          <w:rFonts w:ascii="Arial" w:hAnsi="Arial" w:cs="Arial"/>
          <w:sz w:val="24"/>
          <w:szCs w:val="24"/>
        </w:rPr>
      </w:pPr>
    </w:p>
    <w:p w:rsidR="002B6AD1" w:rsidRPr="002B6AD1" w:rsidRDefault="002B6AD1" w:rsidP="002B6AD1">
      <w:pPr>
        <w:pStyle w:val="NoSpacing"/>
        <w:rPr>
          <w:rFonts w:ascii="Arial" w:hAnsi="Arial" w:cs="Arial"/>
          <w:b/>
          <w:sz w:val="24"/>
          <w:szCs w:val="24"/>
        </w:rPr>
      </w:pPr>
      <w:r w:rsidRPr="002B6AD1">
        <w:rPr>
          <w:rFonts w:ascii="Arial" w:hAnsi="Arial" w:cs="Arial"/>
          <w:b/>
          <w:sz w:val="24"/>
          <w:szCs w:val="24"/>
        </w:rPr>
        <w:t>REPUBLIKA HRVATSKA</w:t>
      </w:r>
    </w:p>
    <w:p w:rsidR="002B6AD1" w:rsidRPr="002B6AD1" w:rsidRDefault="002B6AD1" w:rsidP="002B6AD1">
      <w:pPr>
        <w:pStyle w:val="NoSpacing"/>
        <w:rPr>
          <w:rFonts w:ascii="Arial" w:hAnsi="Arial" w:cs="Arial"/>
          <w:b/>
          <w:sz w:val="24"/>
          <w:szCs w:val="24"/>
        </w:rPr>
      </w:pPr>
      <w:r w:rsidRPr="002B6AD1">
        <w:rPr>
          <w:rFonts w:ascii="Arial" w:hAnsi="Arial" w:cs="Arial"/>
          <w:b/>
          <w:sz w:val="24"/>
          <w:szCs w:val="24"/>
        </w:rPr>
        <w:t>ZADARSKA ŽUPANIJA</w:t>
      </w:r>
    </w:p>
    <w:p w:rsidR="002B6AD1" w:rsidRPr="002B6AD1" w:rsidRDefault="002B6AD1" w:rsidP="002B6AD1">
      <w:pPr>
        <w:pStyle w:val="NoSpacing"/>
        <w:rPr>
          <w:rFonts w:ascii="Arial" w:hAnsi="Arial" w:cs="Arial"/>
          <w:b/>
          <w:sz w:val="24"/>
          <w:szCs w:val="24"/>
        </w:rPr>
      </w:pPr>
      <w:smartTag w:uri="urn:schemas-microsoft-com:office:smarttags" w:element="PersonName">
        <w:smartTagPr>
          <w:attr w:name="ProductID" w:val="OPĆINA GRAČAC"/>
        </w:smartTagPr>
        <w:r w:rsidRPr="002B6AD1">
          <w:rPr>
            <w:rFonts w:ascii="Arial" w:hAnsi="Arial" w:cs="Arial"/>
            <w:b/>
            <w:sz w:val="24"/>
            <w:szCs w:val="24"/>
          </w:rPr>
          <w:t>OPĆINA GRAČAC</w:t>
        </w:r>
      </w:smartTag>
    </w:p>
    <w:p w:rsidR="002B6AD1" w:rsidRPr="002B6AD1" w:rsidRDefault="002B6AD1" w:rsidP="002B6AD1">
      <w:pPr>
        <w:pStyle w:val="NoSpacing"/>
        <w:rPr>
          <w:rFonts w:ascii="Arial" w:hAnsi="Arial" w:cs="Arial"/>
          <w:b/>
          <w:sz w:val="24"/>
          <w:szCs w:val="24"/>
        </w:rPr>
      </w:pPr>
      <w:r w:rsidRPr="002B6AD1">
        <w:rPr>
          <w:rFonts w:ascii="Arial" w:hAnsi="Arial" w:cs="Arial"/>
          <w:b/>
          <w:sz w:val="24"/>
          <w:szCs w:val="24"/>
        </w:rPr>
        <w:t xml:space="preserve">JEDINSTVENI UPRAVNI ODJEL </w:t>
      </w:r>
    </w:p>
    <w:p w:rsidR="002B6AD1" w:rsidRPr="002B6AD1" w:rsidRDefault="002B6AD1" w:rsidP="002B6AD1">
      <w:pPr>
        <w:pStyle w:val="NoSpacing"/>
        <w:rPr>
          <w:rFonts w:ascii="Arial" w:hAnsi="Arial" w:cs="Arial"/>
          <w:b/>
          <w:sz w:val="24"/>
          <w:szCs w:val="24"/>
        </w:rPr>
      </w:pPr>
      <w:r w:rsidRPr="002B6AD1">
        <w:rPr>
          <w:rFonts w:ascii="Arial" w:hAnsi="Arial" w:cs="Arial"/>
          <w:b/>
          <w:sz w:val="24"/>
          <w:szCs w:val="24"/>
        </w:rPr>
        <w:t xml:space="preserve">KLASA: </w:t>
      </w:r>
      <w:r>
        <w:rPr>
          <w:rFonts w:ascii="Arial" w:hAnsi="Arial" w:cs="Arial"/>
          <w:b/>
          <w:sz w:val="24"/>
          <w:szCs w:val="24"/>
        </w:rPr>
        <w:t>400-08/17-01/</w:t>
      </w:r>
      <w:r w:rsidR="00287D10">
        <w:rPr>
          <w:rFonts w:ascii="Arial" w:hAnsi="Arial" w:cs="Arial"/>
          <w:b/>
          <w:sz w:val="24"/>
          <w:szCs w:val="24"/>
        </w:rPr>
        <w:t>2</w:t>
      </w:r>
    </w:p>
    <w:p w:rsidR="002B6AD1" w:rsidRPr="002B6AD1" w:rsidRDefault="002B6AD1" w:rsidP="002B6AD1">
      <w:pPr>
        <w:pStyle w:val="NoSpacing"/>
        <w:rPr>
          <w:rFonts w:ascii="Arial" w:hAnsi="Arial" w:cs="Arial"/>
          <w:b/>
          <w:sz w:val="24"/>
          <w:szCs w:val="24"/>
        </w:rPr>
      </w:pPr>
      <w:r w:rsidRPr="002B6AD1">
        <w:rPr>
          <w:rFonts w:ascii="Arial" w:hAnsi="Arial" w:cs="Arial"/>
          <w:b/>
          <w:sz w:val="24"/>
          <w:szCs w:val="24"/>
        </w:rPr>
        <w:t xml:space="preserve">UR.BROJ: </w:t>
      </w:r>
      <w:r>
        <w:rPr>
          <w:rFonts w:ascii="Arial" w:hAnsi="Arial" w:cs="Arial"/>
          <w:b/>
          <w:sz w:val="24"/>
          <w:szCs w:val="24"/>
        </w:rPr>
        <w:t>2198/31-03-17</w:t>
      </w:r>
      <w:r w:rsidRPr="002B6AD1">
        <w:rPr>
          <w:rFonts w:ascii="Arial" w:hAnsi="Arial" w:cs="Arial"/>
          <w:b/>
          <w:sz w:val="24"/>
          <w:szCs w:val="24"/>
        </w:rPr>
        <w:t>-1</w:t>
      </w:r>
    </w:p>
    <w:p w:rsidR="002B6AD1" w:rsidRDefault="002B6AD1" w:rsidP="002B6AD1">
      <w:pPr>
        <w:pStyle w:val="NoSpacing"/>
        <w:rPr>
          <w:rFonts w:ascii="Arial" w:hAnsi="Arial" w:cs="Arial"/>
          <w:b/>
          <w:sz w:val="24"/>
          <w:szCs w:val="24"/>
        </w:rPr>
      </w:pPr>
      <w:r w:rsidRPr="002B6AD1">
        <w:rPr>
          <w:rFonts w:ascii="Arial" w:hAnsi="Arial" w:cs="Arial"/>
          <w:b/>
          <w:sz w:val="24"/>
          <w:szCs w:val="24"/>
        </w:rPr>
        <w:t xml:space="preserve">Gračac, </w:t>
      </w:r>
      <w:r w:rsidR="0027714B">
        <w:rPr>
          <w:rFonts w:ascii="Arial" w:hAnsi="Arial" w:cs="Arial"/>
          <w:b/>
          <w:sz w:val="24"/>
          <w:szCs w:val="24"/>
        </w:rPr>
        <w:t>27</w:t>
      </w:r>
      <w:r>
        <w:rPr>
          <w:rFonts w:ascii="Arial" w:hAnsi="Arial" w:cs="Arial"/>
          <w:b/>
          <w:sz w:val="24"/>
          <w:szCs w:val="24"/>
        </w:rPr>
        <w:t>. rujn</w:t>
      </w:r>
      <w:r w:rsidRPr="002B6AD1">
        <w:rPr>
          <w:rFonts w:ascii="Arial" w:hAnsi="Arial" w:cs="Arial"/>
          <w:b/>
          <w:sz w:val="24"/>
          <w:szCs w:val="24"/>
        </w:rPr>
        <w:t>a</w:t>
      </w:r>
      <w:r>
        <w:rPr>
          <w:rFonts w:ascii="Arial" w:hAnsi="Arial" w:cs="Arial"/>
          <w:b/>
          <w:sz w:val="24"/>
          <w:szCs w:val="24"/>
        </w:rPr>
        <w:t xml:space="preserve"> 2017</w:t>
      </w:r>
      <w:r w:rsidRPr="002B6AD1">
        <w:rPr>
          <w:rFonts w:ascii="Arial" w:hAnsi="Arial" w:cs="Arial"/>
          <w:b/>
          <w:sz w:val="24"/>
          <w:szCs w:val="24"/>
        </w:rPr>
        <w:t>.  godine</w:t>
      </w:r>
    </w:p>
    <w:p w:rsidR="002B6AD1" w:rsidRDefault="002B6AD1" w:rsidP="002B6AD1">
      <w:pPr>
        <w:pStyle w:val="NoSpacing"/>
        <w:rPr>
          <w:rFonts w:ascii="Arial" w:hAnsi="Arial" w:cs="Arial"/>
          <w:b/>
          <w:sz w:val="24"/>
          <w:szCs w:val="24"/>
        </w:rPr>
      </w:pPr>
    </w:p>
    <w:p w:rsidR="002B6AD1" w:rsidRPr="002B6AD1" w:rsidRDefault="002B6AD1" w:rsidP="002B6AD1">
      <w:pPr>
        <w:pStyle w:val="NoSpacing"/>
        <w:rPr>
          <w:rFonts w:ascii="Arial" w:hAnsi="Arial" w:cs="Arial"/>
          <w:b/>
          <w:sz w:val="24"/>
          <w:szCs w:val="24"/>
        </w:rPr>
      </w:pPr>
    </w:p>
    <w:p w:rsidR="00FB3B06" w:rsidRDefault="002B6AD1" w:rsidP="002B6AD1">
      <w:pPr>
        <w:pStyle w:val="NoSpacing"/>
        <w:rPr>
          <w:rFonts w:ascii="Arial" w:eastAsia="Times New Roman" w:hAnsi="Arial" w:cs="Arial"/>
          <w:b/>
          <w:sz w:val="24"/>
          <w:szCs w:val="24"/>
        </w:rPr>
      </w:pPr>
      <w:r>
        <w:rPr>
          <w:rFonts w:ascii="Arial" w:eastAsia="Times New Roman" w:hAnsi="Arial" w:cs="Arial"/>
          <w:b/>
          <w:sz w:val="24"/>
          <w:szCs w:val="24"/>
        </w:rPr>
        <w:t xml:space="preserve">                                                                              - Proračunskim korisnicima</w:t>
      </w:r>
    </w:p>
    <w:p w:rsidR="002B6AD1" w:rsidRDefault="002B6AD1" w:rsidP="002B6AD1">
      <w:pPr>
        <w:pStyle w:val="NoSpacing"/>
        <w:rPr>
          <w:rFonts w:ascii="Arial" w:eastAsia="Times New Roman" w:hAnsi="Arial" w:cs="Arial"/>
          <w:b/>
          <w:sz w:val="24"/>
          <w:szCs w:val="24"/>
        </w:rPr>
      </w:pPr>
      <w:r>
        <w:rPr>
          <w:rFonts w:ascii="Arial" w:eastAsia="Times New Roman" w:hAnsi="Arial" w:cs="Arial"/>
          <w:b/>
          <w:sz w:val="24"/>
          <w:szCs w:val="24"/>
        </w:rPr>
        <w:t xml:space="preserve">                                                                                Općine Gračac-</w:t>
      </w:r>
    </w:p>
    <w:p w:rsidR="002B6AD1" w:rsidRDefault="002B6AD1" w:rsidP="002B6AD1">
      <w:pPr>
        <w:pStyle w:val="NoSpacing"/>
        <w:rPr>
          <w:rFonts w:ascii="Arial" w:eastAsia="Times New Roman" w:hAnsi="Arial" w:cs="Arial"/>
          <w:b/>
          <w:sz w:val="24"/>
          <w:szCs w:val="24"/>
        </w:rPr>
      </w:pPr>
    </w:p>
    <w:p w:rsidR="002B6AD1" w:rsidRDefault="000D17A8" w:rsidP="002B6AD1">
      <w:pPr>
        <w:pStyle w:val="NoSpacing"/>
        <w:rPr>
          <w:rFonts w:ascii="Arial" w:eastAsia="Times New Roman" w:hAnsi="Arial" w:cs="Arial"/>
          <w:b/>
          <w:sz w:val="24"/>
          <w:szCs w:val="24"/>
        </w:rPr>
      </w:pPr>
      <w:r>
        <w:rPr>
          <w:rFonts w:ascii="Arial" w:eastAsia="Times New Roman" w:hAnsi="Arial" w:cs="Arial"/>
          <w:b/>
          <w:sz w:val="24"/>
          <w:szCs w:val="24"/>
        </w:rPr>
        <w:tab/>
        <w:t>PREDMET: Upute za izradu Proračuna Općine Gračac</w:t>
      </w:r>
    </w:p>
    <w:p w:rsidR="000D17A8" w:rsidRDefault="000D17A8" w:rsidP="002B6AD1">
      <w:pPr>
        <w:pStyle w:val="NoSpacing"/>
        <w:rPr>
          <w:rFonts w:ascii="Arial" w:eastAsia="Times New Roman" w:hAnsi="Arial" w:cs="Arial"/>
          <w:b/>
          <w:sz w:val="24"/>
          <w:szCs w:val="24"/>
        </w:rPr>
      </w:pPr>
      <w:r>
        <w:rPr>
          <w:rFonts w:ascii="Arial" w:eastAsia="Times New Roman" w:hAnsi="Arial" w:cs="Arial"/>
          <w:b/>
          <w:sz w:val="24"/>
          <w:szCs w:val="24"/>
        </w:rPr>
        <w:t xml:space="preserve">                               za razdoblje 2018. do 2020. godine,</w:t>
      </w:r>
    </w:p>
    <w:p w:rsidR="000D17A8" w:rsidRDefault="000D17A8" w:rsidP="002B6AD1">
      <w:pPr>
        <w:pStyle w:val="NoSpacing"/>
        <w:rPr>
          <w:rFonts w:ascii="Arial" w:eastAsia="Times New Roman" w:hAnsi="Arial" w:cs="Arial"/>
          <w:b/>
          <w:sz w:val="24"/>
          <w:szCs w:val="24"/>
        </w:rPr>
      </w:pPr>
      <w:r>
        <w:rPr>
          <w:rFonts w:ascii="Arial" w:eastAsia="Times New Roman" w:hAnsi="Arial" w:cs="Arial"/>
          <w:b/>
          <w:sz w:val="24"/>
          <w:szCs w:val="24"/>
        </w:rPr>
        <w:t xml:space="preserve">                             - dostavljaju se.</w:t>
      </w:r>
    </w:p>
    <w:p w:rsidR="002B6AD1" w:rsidRDefault="002B6AD1" w:rsidP="002B6AD1">
      <w:pPr>
        <w:pStyle w:val="NoSpacing"/>
        <w:rPr>
          <w:rFonts w:ascii="Arial" w:eastAsia="Times New Roman" w:hAnsi="Arial" w:cs="Arial"/>
          <w:b/>
          <w:sz w:val="24"/>
          <w:szCs w:val="24"/>
        </w:rPr>
      </w:pPr>
    </w:p>
    <w:p w:rsidR="00403D5F" w:rsidRPr="00403D5F" w:rsidRDefault="00403D5F" w:rsidP="00403D5F">
      <w:pPr>
        <w:pStyle w:val="NoSpacing"/>
        <w:rPr>
          <w:rFonts w:ascii="Arial" w:eastAsia="Times New Roman" w:hAnsi="Arial" w:cs="Arial"/>
          <w:sz w:val="24"/>
          <w:szCs w:val="24"/>
        </w:rPr>
      </w:pPr>
      <w:r>
        <w:rPr>
          <w:rFonts w:eastAsia="Times New Roman"/>
        </w:rPr>
        <w:tab/>
      </w:r>
      <w:r w:rsidRPr="00403D5F">
        <w:rPr>
          <w:rFonts w:ascii="Arial" w:eastAsia="Times New Roman" w:hAnsi="Arial" w:cs="Arial"/>
          <w:sz w:val="24"/>
          <w:szCs w:val="24"/>
        </w:rPr>
        <w:t>Poštovani,</w:t>
      </w:r>
    </w:p>
    <w:p w:rsidR="00403D5F" w:rsidRPr="00403D5F" w:rsidRDefault="00403D5F" w:rsidP="00403D5F">
      <w:pPr>
        <w:pStyle w:val="NoSpacing"/>
        <w:rPr>
          <w:rFonts w:ascii="Arial" w:eastAsia="Times New Roman" w:hAnsi="Arial" w:cs="Arial"/>
          <w:sz w:val="24"/>
          <w:szCs w:val="24"/>
        </w:rPr>
      </w:pPr>
      <w:r w:rsidRPr="00403D5F">
        <w:rPr>
          <w:rFonts w:ascii="Arial" w:eastAsia="Times New Roman" w:hAnsi="Arial" w:cs="Arial"/>
          <w:sz w:val="24"/>
          <w:szCs w:val="24"/>
        </w:rPr>
        <w:tab/>
      </w:r>
    </w:p>
    <w:p w:rsidR="00403D5F" w:rsidRDefault="00403D5F" w:rsidP="00403D5F">
      <w:pPr>
        <w:pStyle w:val="NoSpacing"/>
        <w:rPr>
          <w:rFonts w:ascii="Arial" w:eastAsia="Times New Roman" w:hAnsi="Arial" w:cs="Arial"/>
          <w:sz w:val="24"/>
          <w:szCs w:val="24"/>
        </w:rPr>
      </w:pPr>
      <w:r>
        <w:rPr>
          <w:rFonts w:ascii="Arial" w:eastAsia="Times New Roman" w:hAnsi="Arial" w:cs="Arial"/>
          <w:sz w:val="24"/>
          <w:szCs w:val="24"/>
        </w:rPr>
        <w:tab/>
      </w:r>
      <w:r w:rsidR="00D86AEF">
        <w:rPr>
          <w:rFonts w:ascii="Arial" w:eastAsia="Times New Roman" w:hAnsi="Arial" w:cs="Arial"/>
          <w:sz w:val="24"/>
          <w:szCs w:val="24"/>
        </w:rPr>
        <w:t xml:space="preserve">u nastavku teksta </w:t>
      </w:r>
      <w:r w:rsidRPr="00403D5F">
        <w:rPr>
          <w:rFonts w:ascii="Arial" w:eastAsia="Times New Roman" w:hAnsi="Arial" w:cs="Arial"/>
          <w:sz w:val="24"/>
          <w:szCs w:val="24"/>
        </w:rPr>
        <w:t>dostavljamo</w:t>
      </w:r>
      <w:r>
        <w:rPr>
          <w:rFonts w:ascii="Arial" w:eastAsia="Times New Roman" w:hAnsi="Arial" w:cs="Arial"/>
          <w:sz w:val="24"/>
          <w:szCs w:val="24"/>
        </w:rPr>
        <w:t xml:space="preserve"> Vam</w:t>
      </w:r>
      <w:r w:rsidRPr="00403D5F">
        <w:rPr>
          <w:rFonts w:ascii="Arial" w:eastAsia="Times New Roman" w:hAnsi="Arial" w:cs="Arial"/>
          <w:sz w:val="24"/>
          <w:szCs w:val="24"/>
        </w:rPr>
        <w:t xml:space="preserve"> </w:t>
      </w:r>
    </w:p>
    <w:p w:rsidR="00403D5F" w:rsidRDefault="00403D5F" w:rsidP="00403D5F">
      <w:pPr>
        <w:pStyle w:val="NoSpacing"/>
        <w:rPr>
          <w:rFonts w:ascii="Arial" w:eastAsia="Times New Roman" w:hAnsi="Arial" w:cs="Arial"/>
          <w:sz w:val="24"/>
          <w:szCs w:val="24"/>
        </w:rPr>
      </w:pPr>
    </w:p>
    <w:p w:rsidR="00403D5F" w:rsidRPr="00403D5F" w:rsidRDefault="00403D5F" w:rsidP="00403D5F">
      <w:pPr>
        <w:pStyle w:val="NoSpacing"/>
        <w:jc w:val="center"/>
        <w:rPr>
          <w:rFonts w:ascii="Arial" w:eastAsia="Times New Roman" w:hAnsi="Arial" w:cs="Arial"/>
          <w:b/>
          <w:sz w:val="24"/>
          <w:szCs w:val="24"/>
        </w:rPr>
      </w:pPr>
      <w:r w:rsidRPr="00403D5F">
        <w:rPr>
          <w:rFonts w:ascii="Arial" w:eastAsia="Times New Roman" w:hAnsi="Arial" w:cs="Arial"/>
          <w:b/>
          <w:sz w:val="24"/>
          <w:szCs w:val="24"/>
        </w:rPr>
        <w:t>UPUTE ZA IZRADU PRORAČUNA OPĆINE GRAČAC</w:t>
      </w:r>
    </w:p>
    <w:p w:rsidR="00403D5F" w:rsidRPr="00403D5F" w:rsidRDefault="00403D5F" w:rsidP="00403D5F">
      <w:pPr>
        <w:pStyle w:val="NoSpacing"/>
        <w:jc w:val="center"/>
        <w:rPr>
          <w:rFonts w:ascii="Arial" w:eastAsia="Times New Roman" w:hAnsi="Arial" w:cs="Arial"/>
          <w:b/>
          <w:sz w:val="24"/>
          <w:szCs w:val="24"/>
        </w:rPr>
      </w:pPr>
      <w:r w:rsidRPr="00403D5F">
        <w:rPr>
          <w:rFonts w:ascii="Arial" w:eastAsia="Times New Roman" w:hAnsi="Arial" w:cs="Arial"/>
          <w:b/>
          <w:sz w:val="24"/>
          <w:szCs w:val="24"/>
        </w:rPr>
        <w:t>ZA RAZDOBLJE 2018. DO 2020. GODINE</w:t>
      </w:r>
    </w:p>
    <w:p w:rsidR="00403D5F" w:rsidRDefault="00403D5F" w:rsidP="006464A0">
      <w:pPr>
        <w:spacing w:before="120" w:after="120" w:line="240" w:lineRule="auto"/>
        <w:jc w:val="both"/>
        <w:rPr>
          <w:rFonts w:ascii="Arial" w:eastAsia="Times New Roman" w:hAnsi="Arial" w:cs="Arial"/>
          <w:sz w:val="24"/>
          <w:szCs w:val="24"/>
          <w:lang w:eastAsia="hr-HR"/>
        </w:rPr>
      </w:pPr>
    </w:p>
    <w:p w:rsidR="001575B9" w:rsidRPr="00D245BA" w:rsidRDefault="006818EB" w:rsidP="006464A0">
      <w:pPr>
        <w:spacing w:before="120" w:after="120" w:line="240" w:lineRule="auto"/>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Sukladno Zakonu o proračunu (Narodne novine, br. 87/08, 136/12 i 15/15), a na temelju Smjernica, Ministarstvo financija je sastavilo Upute za izradu proračuna jedinica lokalne i područne (regionalne) samouprave za razdoblje 2018. - 2020. (dalje u tekstu: Upute).</w:t>
      </w:r>
    </w:p>
    <w:p w:rsidR="00AB4259" w:rsidRPr="00D245BA" w:rsidRDefault="00AB4259" w:rsidP="006464A0">
      <w:pPr>
        <w:spacing w:after="0" w:line="240" w:lineRule="auto"/>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Upute sadrže:</w:t>
      </w:r>
    </w:p>
    <w:p w:rsidR="006818EB" w:rsidRPr="00D245BA" w:rsidRDefault="006818EB" w:rsidP="006464A0">
      <w:pPr>
        <w:numPr>
          <w:ilvl w:val="0"/>
          <w:numId w:val="4"/>
        </w:numPr>
        <w:spacing w:after="0" w:line="240" w:lineRule="auto"/>
        <w:contextualSpacing/>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temeljne ekonomske pokazatelje iz Smjernica,</w:t>
      </w:r>
    </w:p>
    <w:p w:rsidR="006464A0" w:rsidRPr="00D245BA" w:rsidRDefault="006464A0" w:rsidP="006464A0">
      <w:pPr>
        <w:numPr>
          <w:ilvl w:val="0"/>
          <w:numId w:val="4"/>
        </w:numPr>
        <w:spacing w:after="0" w:line="240" w:lineRule="auto"/>
        <w:contextualSpacing/>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 xml:space="preserve">metodologiju izrade financijskog plana proračunskih korisnika jedinice </w:t>
      </w:r>
    </w:p>
    <w:p w:rsidR="00AB4259" w:rsidRPr="00D245BA" w:rsidRDefault="00AB4259" w:rsidP="006464A0">
      <w:pPr>
        <w:numPr>
          <w:ilvl w:val="0"/>
          <w:numId w:val="4"/>
        </w:numPr>
        <w:spacing w:after="0" w:line="240" w:lineRule="auto"/>
        <w:contextualSpacing/>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metodologiju izrade proračuna jedinica lokalne i područne (regionalne) samouprave,</w:t>
      </w:r>
    </w:p>
    <w:p w:rsidR="0044773E" w:rsidRPr="00D245BA" w:rsidRDefault="0044773E" w:rsidP="006464A0">
      <w:pPr>
        <w:pStyle w:val="ListParagraph"/>
        <w:numPr>
          <w:ilvl w:val="0"/>
          <w:numId w:val="4"/>
        </w:numPr>
        <w:jc w:val="left"/>
        <w:rPr>
          <w:rFonts w:ascii="Arial" w:hAnsi="Arial" w:cs="Arial"/>
        </w:rPr>
      </w:pPr>
      <w:r w:rsidRPr="00D245BA">
        <w:rPr>
          <w:rFonts w:ascii="Arial" w:hAnsi="Arial" w:cs="Arial"/>
        </w:rPr>
        <w:t xml:space="preserve">promjene i novosti koje donosi </w:t>
      </w:r>
      <w:r w:rsidR="005A3DAA" w:rsidRPr="00D245BA">
        <w:rPr>
          <w:rFonts w:ascii="Arial" w:hAnsi="Arial" w:cs="Arial"/>
        </w:rPr>
        <w:t>Nacrt prijedloga</w:t>
      </w:r>
      <w:r w:rsidRPr="00D245BA">
        <w:rPr>
          <w:rFonts w:ascii="Arial" w:hAnsi="Arial" w:cs="Arial"/>
        </w:rPr>
        <w:t xml:space="preserve"> zakon</w:t>
      </w:r>
      <w:r w:rsidR="005A3DAA" w:rsidRPr="00D245BA">
        <w:rPr>
          <w:rFonts w:ascii="Arial" w:hAnsi="Arial" w:cs="Arial"/>
        </w:rPr>
        <w:t>a</w:t>
      </w:r>
      <w:r w:rsidRPr="00D245BA">
        <w:rPr>
          <w:rFonts w:ascii="Arial" w:hAnsi="Arial" w:cs="Arial"/>
        </w:rPr>
        <w:t xml:space="preserve"> o financiranju jedinica lokalne i područne (regionalne) samouprave</w:t>
      </w:r>
    </w:p>
    <w:p w:rsidR="005A3DAA" w:rsidRPr="00D245BA" w:rsidRDefault="0044773E" w:rsidP="00DF59D3">
      <w:pPr>
        <w:numPr>
          <w:ilvl w:val="0"/>
          <w:numId w:val="4"/>
        </w:numPr>
        <w:spacing w:after="0" w:line="240" w:lineRule="auto"/>
        <w:contextualSpacing/>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planiranje rashoda proračunskih korisnika u sklopu decentraliziranih funkcija</w:t>
      </w:r>
    </w:p>
    <w:p w:rsidR="00AB4259" w:rsidRPr="00D245BA" w:rsidRDefault="005A3DAA" w:rsidP="00DF59D3">
      <w:pPr>
        <w:numPr>
          <w:ilvl w:val="0"/>
          <w:numId w:val="4"/>
        </w:numPr>
        <w:spacing w:after="0" w:line="240" w:lineRule="auto"/>
        <w:contextualSpacing/>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pripadajuće obrasce.</w:t>
      </w:r>
      <w:r w:rsidR="00DF59D3" w:rsidRPr="00D245BA">
        <w:rPr>
          <w:rFonts w:ascii="Arial" w:eastAsia="Times New Roman" w:hAnsi="Arial" w:cs="Arial"/>
          <w:sz w:val="24"/>
          <w:szCs w:val="24"/>
          <w:lang w:eastAsia="hr-HR"/>
        </w:rPr>
        <w:t xml:space="preserve"> </w:t>
      </w:r>
    </w:p>
    <w:p w:rsidR="00D23D6E" w:rsidRPr="00D245BA" w:rsidRDefault="00D23D6E" w:rsidP="006464A0">
      <w:pPr>
        <w:shd w:val="clear" w:color="auto" w:fill="FFFFFF"/>
        <w:spacing w:after="0" w:line="240" w:lineRule="auto"/>
        <w:jc w:val="both"/>
        <w:rPr>
          <w:rFonts w:ascii="Arial" w:eastAsia="Times New Roman" w:hAnsi="Arial" w:cs="Arial"/>
          <w:sz w:val="24"/>
          <w:szCs w:val="24"/>
          <w:highlight w:val="yellow"/>
          <w:lang w:eastAsia="hr-HR"/>
        </w:rPr>
      </w:pPr>
    </w:p>
    <w:p w:rsidR="00FB3B06" w:rsidRPr="00D245BA" w:rsidRDefault="00FB3B06" w:rsidP="006464A0">
      <w:pPr>
        <w:spacing w:after="0" w:line="240" w:lineRule="auto"/>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Upute</w:t>
      </w:r>
      <w:r w:rsidR="002B6AD1" w:rsidRPr="00D245BA">
        <w:rPr>
          <w:rFonts w:ascii="Arial" w:eastAsia="Times New Roman" w:hAnsi="Arial" w:cs="Arial"/>
          <w:sz w:val="24"/>
          <w:szCs w:val="24"/>
          <w:lang w:eastAsia="hr-HR"/>
        </w:rPr>
        <w:t xml:space="preserve"> su dostavljene </w:t>
      </w:r>
      <w:r w:rsidRPr="00D245BA">
        <w:rPr>
          <w:rFonts w:ascii="Arial" w:eastAsia="Times New Roman" w:hAnsi="Arial" w:cs="Arial"/>
          <w:sz w:val="24"/>
          <w:szCs w:val="24"/>
          <w:lang w:eastAsia="hr-HR"/>
        </w:rPr>
        <w:t>svim županijama, gradovima i općinama kako bi, na temelju istih i u skladu s odredbama Zakona o proračunu, izradile upute za izradu proračuna jedinice i dostavile ih svojim proračunskim i izvanproračunskim korisnicima.</w:t>
      </w:r>
    </w:p>
    <w:p w:rsidR="00FB3B06" w:rsidRPr="00D245BA" w:rsidRDefault="00FB3B06" w:rsidP="006464A0">
      <w:pPr>
        <w:spacing w:after="0" w:line="240" w:lineRule="auto"/>
        <w:jc w:val="both"/>
        <w:rPr>
          <w:rFonts w:ascii="Arial" w:eastAsia="Times New Roman" w:hAnsi="Arial" w:cs="Arial"/>
          <w:sz w:val="24"/>
          <w:szCs w:val="24"/>
          <w:lang w:eastAsia="hr-HR"/>
        </w:rPr>
      </w:pPr>
    </w:p>
    <w:p w:rsidR="002B6AD1" w:rsidRDefault="002B6AD1" w:rsidP="00D245BA">
      <w:pPr>
        <w:spacing w:after="0" w:line="240" w:lineRule="auto"/>
        <w:jc w:val="both"/>
        <w:rPr>
          <w:rFonts w:ascii="Arial" w:eastAsia="Times New Roman" w:hAnsi="Arial" w:cs="Arial"/>
          <w:sz w:val="24"/>
          <w:szCs w:val="24"/>
          <w:lang w:eastAsia="hr-HR"/>
        </w:rPr>
      </w:pPr>
      <w:r w:rsidRPr="00D245BA">
        <w:rPr>
          <w:rFonts w:ascii="Arial" w:eastAsia="Times New Roman" w:hAnsi="Arial" w:cs="Arial"/>
          <w:sz w:val="24"/>
          <w:szCs w:val="24"/>
          <w:lang w:eastAsia="hr-HR"/>
        </w:rPr>
        <w:t xml:space="preserve">Odredbama čl. 27. </w:t>
      </w:r>
      <w:r w:rsidR="00D245BA">
        <w:rPr>
          <w:rFonts w:ascii="Arial" w:eastAsia="Times New Roman" w:hAnsi="Arial" w:cs="Arial"/>
          <w:sz w:val="24"/>
          <w:szCs w:val="24"/>
          <w:lang w:eastAsia="hr-HR"/>
        </w:rPr>
        <w:t>i</w:t>
      </w:r>
      <w:r w:rsidRPr="00D245BA">
        <w:rPr>
          <w:rFonts w:ascii="Arial" w:eastAsia="Times New Roman" w:hAnsi="Arial" w:cs="Arial"/>
          <w:sz w:val="24"/>
          <w:szCs w:val="24"/>
          <w:lang w:eastAsia="hr-HR"/>
        </w:rPr>
        <w:t xml:space="preserve"> 29. Zakonu o proračunu (Narodne novine, br. 87/08, 136/12 i 15/15), propisano je da, na osnovi smjernica Vlade i uputa za izradu prijedloga državnog proračuna Ministarstvo financija sastavlja upute za izradu proračuna jedinica lokalne i područne (regionalne) samouprave i dostavlja ih jedinicama lokalne i područne (regionalne) samouprave do 15. kolovoza tekuće godine. Upravno tijelo za financije nakon primitka uputa, izrađuje upute za izradu proračuna jedinice lokalne </w:t>
      </w:r>
      <w:r w:rsidRPr="00D245BA">
        <w:rPr>
          <w:rFonts w:ascii="Arial" w:eastAsia="Times New Roman" w:hAnsi="Arial" w:cs="Arial"/>
          <w:sz w:val="24"/>
          <w:szCs w:val="24"/>
          <w:lang w:eastAsia="hr-HR"/>
        </w:rPr>
        <w:lastRenderedPageBreak/>
        <w:t>i područne (regionalne) samouprave i dostavlja ih proračunskim i izvanproračunskim korisnicima proračuna jedinice lokalne i područne (regionalne) samouprave.</w:t>
      </w:r>
      <w:r w:rsidR="00D245BA" w:rsidRPr="00D245BA">
        <w:rPr>
          <w:rFonts w:ascii="Arial" w:eastAsia="Times New Roman" w:hAnsi="Arial" w:cs="Arial"/>
          <w:sz w:val="24"/>
          <w:szCs w:val="24"/>
          <w:lang w:eastAsia="hr-HR"/>
        </w:rPr>
        <w:t xml:space="preserve"> </w:t>
      </w:r>
      <w:r w:rsidRPr="00D245BA">
        <w:rPr>
          <w:rFonts w:ascii="Arial" w:eastAsia="Times New Roman" w:hAnsi="Arial" w:cs="Arial"/>
          <w:sz w:val="24"/>
          <w:szCs w:val="24"/>
          <w:lang w:eastAsia="hr-HR"/>
        </w:rPr>
        <w:t>Upute sadrže:</w:t>
      </w:r>
    </w:p>
    <w:p w:rsidR="0027714B" w:rsidRPr="00D245BA" w:rsidRDefault="0027714B" w:rsidP="00D245BA">
      <w:pPr>
        <w:spacing w:after="0" w:line="240" w:lineRule="auto"/>
        <w:jc w:val="both"/>
        <w:rPr>
          <w:rFonts w:ascii="Arial" w:eastAsia="Times New Roman" w:hAnsi="Arial" w:cs="Arial"/>
          <w:sz w:val="24"/>
          <w:szCs w:val="24"/>
          <w:lang w:eastAsia="hr-HR"/>
        </w:rPr>
      </w:pPr>
    </w:p>
    <w:p w:rsidR="002B6AD1" w:rsidRPr="00D245BA" w:rsidRDefault="002B6AD1" w:rsidP="00D245BA">
      <w:pPr>
        <w:pStyle w:val="NoSpacing"/>
        <w:jc w:val="both"/>
        <w:rPr>
          <w:rFonts w:ascii="Arial" w:eastAsia="Times New Roman" w:hAnsi="Arial" w:cs="Arial"/>
          <w:sz w:val="24"/>
          <w:szCs w:val="24"/>
        </w:rPr>
      </w:pPr>
      <w:r w:rsidRPr="00F0510F">
        <w:rPr>
          <w:rFonts w:ascii="Arial" w:eastAsia="Times New Roman" w:hAnsi="Arial" w:cs="Arial"/>
          <w:b/>
          <w:sz w:val="24"/>
          <w:szCs w:val="24"/>
        </w:rPr>
        <w:t>1.</w:t>
      </w:r>
      <w:r w:rsidRPr="00D245BA">
        <w:rPr>
          <w:rFonts w:ascii="Arial" w:eastAsia="Times New Roman" w:hAnsi="Arial" w:cs="Arial"/>
          <w:sz w:val="24"/>
          <w:szCs w:val="24"/>
        </w:rPr>
        <w:t xml:space="preserve"> temeljna ekonomska ishodišta i pretpostavke za izradu prijedloga proračuna jedinice lokalne i područne (regionalne) samouprave,</w:t>
      </w:r>
    </w:p>
    <w:p w:rsidR="002B6AD1" w:rsidRPr="00D245BA" w:rsidRDefault="002B6AD1" w:rsidP="00D245BA">
      <w:pPr>
        <w:pStyle w:val="NoSpacing"/>
        <w:jc w:val="both"/>
        <w:rPr>
          <w:rFonts w:ascii="Arial" w:eastAsia="Times New Roman" w:hAnsi="Arial" w:cs="Arial"/>
          <w:sz w:val="24"/>
          <w:szCs w:val="24"/>
        </w:rPr>
      </w:pPr>
      <w:r w:rsidRPr="00F0510F">
        <w:rPr>
          <w:rFonts w:ascii="Arial" w:eastAsia="Times New Roman" w:hAnsi="Arial" w:cs="Arial"/>
          <w:b/>
          <w:sz w:val="24"/>
          <w:szCs w:val="24"/>
        </w:rPr>
        <w:t>2.</w:t>
      </w:r>
      <w:r w:rsidRPr="00D245BA">
        <w:rPr>
          <w:rFonts w:ascii="Arial" w:eastAsia="Times New Roman" w:hAnsi="Arial" w:cs="Arial"/>
          <w:sz w:val="24"/>
          <w:szCs w:val="24"/>
        </w:rPr>
        <w:t xml:space="preserve"> opis planiranih politika jedinice lokalne i područne (regionalne) samouprave,</w:t>
      </w:r>
    </w:p>
    <w:p w:rsidR="002B6AD1" w:rsidRPr="00D245BA" w:rsidRDefault="002B6AD1" w:rsidP="00D245BA">
      <w:pPr>
        <w:pStyle w:val="NoSpacing"/>
        <w:jc w:val="both"/>
        <w:rPr>
          <w:rFonts w:ascii="Arial" w:eastAsia="Times New Roman" w:hAnsi="Arial" w:cs="Arial"/>
          <w:sz w:val="24"/>
          <w:szCs w:val="24"/>
        </w:rPr>
      </w:pPr>
      <w:r w:rsidRPr="00F0510F">
        <w:rPr>
          <w:rFonts w:ascii="Arial" w:eastAsia="Times New Roman" w:hAnsi="Arial" w:cs="Arial"/>
          <w:b/>
          <w:sz w:val="24"/>
          <w:szCs w:val="24"/>
        </w:rPr>
        <w:t>3.</w:t>
      </w:r>
      <w:r w:rsidRPr="00D245BA">
        <w:rPr>
          <w:rFonts w:ascii="Arial" w:eastAsia="Times New Roman" w:hAnsi="Arial" w:cs="Arial"/>
          <w:sz w:val="24"/>
          <w:szCs w:val="24"/>
        </w:rPr>
        <w:t xml:space="preserve"> procjenu prihoda i rashoda te primitaka i izdataka proračuna jedinice lokalne i područne (regionalne) samouprave u sljedeće tri godine,</w:t>
      </w:r>
    </w:p>
    <w:p w:rsidR="002B6AD1" w:rsidRPr="00D245BA" w:rsidRDefault="002B6AD1" w:rsidP="00D245BA">
      <w:pPr>
        <w:pStyle w:val="NoSpacing"/>
        <w:jc w:val="both"/>
        <w:rPr>
          <w:rFonts w:ascii="Arial" w:eastAsia="Times New Roman" w:hAnsi="Arial" w:cs="Arial"/>
          <w:sz w:val="24"/>
          <w:szCs w:val="24"/>
        </w:rPr>
      </w:pPr>
      <w:r w:rsidRPr="00F0510F">
        <w:rPr>
          <w:rFonts w:ascii="Arial" w:eastAsia="Times New Roman" w:hAnsi="Arial" w:cs="Arial"/>
          <w:b/>
          <w:sz w:val="24"/>
          <w:szCs w:val="24"/>
        </w:rPr>
        <w:t>4.</w:t>
      </w:r>
      <w:r w:rsidRPr="00D245BA">
        <w:rPr>
          <w:rFonts w:ascii="Arial" w:eastAsia="Times New Roman" w:hAnsi="Arial" w:cs="Arial"/>
          <w:sz w:val="24"/>
          <w:szCs w:val="24"/>
        </w:rPr>
        <w:t xml:space="preserve"> visinu financijskog plana po proračunskim korisnicima koja sadrži visinu financijskog plana za prethodnu proračunsku godinu i tekuću proračunsku godinu, te visinu financijskog plana za sljedeću proračunsku godinu i za sljedeće dvije godine, raspoređen na:</w:t>
      </w: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a) visinu sredstava potrebnih za provedbu postojećih programa, odnosno aktivnosti, koje proizlaze iz trenutno važećih propisa, i</w:t>
      </w: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b) visinu sredstava potrebnih za uvođenje i provedbu novih ili promjenu postojećih programa, odnosno aktivnosti,</w:t>
      </w:r>
    </w:p>
    <w:p w:rsidR="002B6AD1" w:rsidRPr="00D245BA" w:rsidRDefault="002B6AD1" w:rsidP="00D245BA">
      <w:pPr>
        <w:pStyle w:val="NoSpacing"/>
        <w:jc w:val="both"/>
        <w:rPr>
          <w:rFonts w:ascii="Arial" w:eastAsia="Times New Roman" w:hAnsi="Arial" w:cs="Arial"/>
          <w:sz w:val="24"/>
          <w:szCs w:val="24"/>
        </w:rPr>
      </w:pPr>
      <w:r w:rsidRPr="00F0510F">
        <w:rPr>
          <w:rFonts w:ascii="Arial" w:eastAsia="Times New Roman" w:hAnsi="Arial" w:cs="Arial"/>
          <w:b/>
          <w:sz w:val="24"/>
          <w:szCs w:val="24"/>
        </w:rPr>
        <w:t>5.</w:t>
      </w:r>
      <w:r w:rsidRPr="00D245BA">
        <w:rPr>
          <w:rFonts w:ascii="Arial" w:eastAsia="Times New Roman" w:hAnsi="Arial" w:cs="Arial"/>
          <w:sz w:val="24"/>
          <w:szCs w:val="24"/>
        </w:rPr>
        <w:t xml:space="preserve"> način pripreme te terminski plan za izradu proračuna i prijedloga financijskih planova proračunskih i izvanproračunskih korisnika proračuna jedinice lokalne i područne (regionalne) samouprave.</w:t>
      </w:r>
    </w:p>
    <w:p w:rsidR="0027714B" w:rsidRDefault="0027714B" w:rsidP="00D245BA">
      <w:pPr>
        <w:pStyle w:val="NoSpacing"/>
        <w:jc w:val="both"/>
        <w:rPr>
          <w:rFonts w:ascii="Arial" w:eastAsia="Times New Roman" w:hAnsi="Arial" w:cs="Arial"/>
          <w:sz w:val="24"/>
          <w:szCs w:val="24"/>
        </w:rPr>
      </w:pP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Na osnovi uputa za izradu prijedloga proračuna jedinica lokalne i područne (regionalne) samouprave, proračunski korisnici jedinica lokalne i područne (regionalne) samouprave izrađuju prijedlog financijskog plana.</w:t>
      </w:r>
      <w:r w:rsidR="00D245BA" w:rsidRPr="00D245BA">
        <w:rPr>
          <w:rFonts w:ascii="Arial" w:eastAsia="Times New Roman" w:hAnsi="Arial" w:cs="Arial"/>
          <w:sz w:val="24"/>
          <w:szCs w:val="24"/>
        </w:rPr>
        <w:t xml:space="preserve"> </w:t>
      </w:r>
      <w:r w:rsidRPr="00D245BA">
        <w:rPr>
          <w:rFonts w:ascii="Arial" w:eastAsia="Times New Roman" w:hAnsi="Arial" w:cs="Arial"/>
          <w:sz w:val="24"/>
          <w:szCs w:val="24"/>
        </w:rPr>
        <w:t>Prijedlog financijskog plana sadrži:</w:t>
      </w: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1. prihode i primitke iskazane po vrstama,</w:t>
      </w: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2. rashode i izdatke predviđene za trogodišnje razdoblje, razvrstane prema proračunskim klasifikacijama,</w:t>
      </w:r>
    </w:p>
    <w:p w:rsidR="002B6AD1" w:rsidRPr="00D245BA" w:rsidRDefault="002B6AD1" w:rsidP="00D245BA">
      <w:pPr>
        <w:pStyle w:val="NoSpacing"/>
        <w:jc w:val="both"/>
        <w:rPr>
          <w:rFonts w:ascii="Arial" w:eastAsia="Times New Roman" w:hAnsi="Arial" w:cs="Arial"/>
          <w:sz w:val="24"/>
          <w:szCs w:val="24"/>
        </w:rPr>
      </w:pPr>
      <w:r w:rsidRPr="00D245BA">
        <w:rPr>
          <w:rFonts w:ascii="Arial" w:eastAsia="Times New Roman" w:hAnsi="Arial" w:cs="Arial"/>
          <w:sz w:val="24"/>
          <w:szCs w:val="24"/>
        </w:rPr>
        <w:t>3. obrazloženje prijedloga financijskog plana.</w:t>
      </w:r>
    </w:p>
    <w:p w:rsidR="002B6AD1" w:rsidRPr="00277C2F" w:rsidRDefault="002B6AD1" w:rsidP="002B6AD1">
      <w:pPr>
        <w:spacing w:after="0" w:line="240" w:lineRule="auto"/>
        <w:jc w:val="center"/>
        <w:rPr>
          <w:rFonts w:eastAsia="Times New Roman" w:cs="Arial"/>
          <w:b/>
          <w:sz w:val="24"/>
          <w:szCs w:val="24"/>
          <w:lang w:eastAsia="hr-HR"/>
        </w:rPr>
      </w:pPr>
    </w:p>
    <w:p w:rsidR="002B6AD1" w:rsidRPr="00277C2F" w:rsidRDefault="002B6AD1" w:rsidP="002B6AD1">
      <w:pPr>
        <w:spacing w:after="0" w:line="240" w:lineRule="auto"/>
        <w:jc w:val="center"/>
        <w:rPr>
          <w:rFonts w:eastAsia="Times New Roman" w:cs="Arial"/>
          <w:b/>
          <w:sz w:val="24"/>
          <w:szCs w:val="24"/>
          <w:lang w:eastAsia="hr-HR"/>
        </w:rPr>
      </w:pPr>
    </w:p>
    <w:p w:rsidR="00297560" w:rsidRPr="00287D10" w:rsidRDefault="00297560" w:rsidP="0027714B">
      <w:pPr>
        <w:spacing w:line="240" w:lineRule="auto"/>
        <w:jc w:val="center"/>
        <w:rPr>
          <w:rFonts w:ascii="Arial" w:eastAsia="Times New Roman" w:hAnsi="Arial" w:cs="Arial"/>
          <w:sz w:val="24"/>
          <w:szCs w:val="24"/>
          <w:lang w:eastAsia="hr-HR"/>
        </w:rPr>
      </w:pPr>
      <w:bookmarkStart w:id="0" w:name="_Toc491348190"/>
      <w:r w:rsidRPr="00287D10">
        <w:rPr>
          <w:rFonts w:ascii="Arial" w:eastAsiaTheme="majorEastAsia" w:hAnsi="Arial" w:cs="Arial"/>
          <w:b/>
          <w:bCs/>
          <w:sz w:val="24"/>
          <w:szCs w:val="24"/>
          <w:lang w:eastAsia="hr-HR"/>
        </w:rPr>
        <w:t>METODOLOGIJA IZRADE PRIJEDLOGA</w:t>
      </w:r>
      <w:r w:rsidR="0027714B">
        <w:rPr>
          <w:rFonts w:ascii="Arial" w:eastAsiaTheme="majorEastAsia" w:hAnsi="Arial" w:cs="Arial"/>
          <w:b/>
          <w:bCs/>
          <w:sz w:val="24"/>
          <w:szCs w:val="24"/>
          <w:lang w:eastAsia="hr-HR"/>
        </w:rPr>
        <w:t xml:space="preserve"> FINANCIJSKOG PLANA PRORAČUNSKIH</w:t>
      </w:r>
      <w:r w:rsidRPr="00287D10">
        <w:rPr>
          <w:rFonts w:ascii="Arial" w:eastAsiaTheme="majorEastAsia" w:hAnsi="Arial" w:cs="Arial"/>
          <w:b/>
          <w:bCs/>
          <w:sz w:val="24"/>
          <w:szCs w:val="24"/>
          <w:lang w:eastAsia="hr-HR"/>
        </w:rPr>
        <w:t xml:space="preserve"> KORISNIKA </w:t>
      </w:r>
      <w:bookmarkEnd w:id="0"/>
      <w:r w:rsidR="00071C86" w:rsidRPr="00287D10">
        <w:rPr>
          <w:rFonts w:ascii="Arial" w:eastAsiaTheme="majorEastAsia" w:hAnsi="Arial" w:cs="Arial"/>
          <w:b/>
          <w:bCs/>
          <w:sz w:val="24"/>
          <w:szCs w:val="24"/>
          <w:lang w:eastAsia="hr-HR"/>
        </w:rPr>
        <w:t>OPĆINE GRAČAC</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Proračunski korisnici </w:t>
      </w:r>
      <w:r w:rsidR="00071C86" w:rsidRPr="00287D10">
        <w:rPr>
          <w:rFonts w:ascii="Arial" w:eastAsia="Times New Roman" w:hAnsi="Arial" w:cs="Arial"/>
          <w:sz w:val="24"/>
          <w:szCs w:val="24"/>
          <w:lang w:eastAsia="hr-HR"/>
        </w:rPr>
        <w:t xml:space="preserve">Općine Gračac </w:t>
      </w:r>
      <w:r w:rsidRPr="00287D10">
        <w:rPr>
          <w:rFonts w:ascii="Arial" w:eastAsia="Times New Roman" w:hAnsi="Arial" w:cs="Arial"/>
          <w:sz w:val="24"/>
          <w:szCs w:val="24"/>
          <w:lang w:eastAsia="hr-HR"/>
        </w:rPr>
        <w:t>obvezni su izrađivati financijske planove u skladu s odredbama Zakona o proračunu</w:t>
      </w:r>
      <w:r w:rsidR="00A950EB" w:rsidRPr="00287D10">
        <w:rPr>
          <w:rFonts w:ascii="Arial" w:eastAsia="Times New Roman" w:hAnsi="Arial" w:cs="Arial"/>
          <w:sz w:val="24"/>
          <w:szCs w:val="24"/>
          <w:lang w:eastAsia="hr-HR"/>
        </w:rPr>
        <w:t>,</w:t>
      </w:r>
      <w:r w:rsidR="00A950EB" w:rsidRPr="00287D10">
        <w:rPr>
          <w:rFonts w:ascii="Arial" w:hAnsi="Arial" w:cs="Arial"/>
          <w:sz w:val="24"/>
          <w:szCs w:val="24"/>
          <w:lang w:eastAsia="hr-HR"/>
        </w:rPr>
        <w:t xml:space="preserve">  Pravilnika o proračunskim klasifikacijama (Narodne novine, br. 26/10 i 120/13) i Pravilnika o proračunskom računovodstvu i Računskom planu (Narodne novine, br. 124/14, 115/15 i 87/16) te se p</w:t>
      </w:r>
      <w:r w:rsidRPr="00287D10">
        <w:rPr>
          <w:rFonts w:ascii="Arial" w:eastAsia="Times New Roman" w:hAnsi="Arial" w:cs="Arial"/>
          <w:sz w:val="24"/>
          <w:szCs w:val="24"/>
          <w:lang w:eastAsia="hr-HR"/>
        </w:rPr>
        <w:t xml:space="preserve">ridržavati ovih Uputa. </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Proračunski korisnici </w:t>
      </w:r>
      <w:r w:rsidR="00071C86"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svoje financijske planove dostavljaju </w:t>
      </w:r>
      <w:r w:rsidR="00071C86" w:rsidRPr="00287D10">
        <w:rPr>
          <w:rFonts w:ascii="Arial" w:eastAsia="Times New Roman" w:hAnsi="Arial" w:cs="Arial"/>
          <w:sz w:val="24"/>
          <w:szCs w:val="24"/>
          <w:lang w:eastAsia="hr-HR"/>
        </w:rPr>
        <w:t>Općini Gračac,</w:t>
      </w:r>
      <w:r w:rsidRPr="00287D10">
        <w:rPr>
          <w:rFonts w:ascii="Arial" w:eastAsia="Times New Roman" w:hAnsi="Arial" w:cs="Arial"/>
          <w:sz w:val="24"/>
          <w:szCs w:val="24"/>
          <w:lang w:eastAsia="hr-HR"/>
        </w:rPr>
        <w:t xml:space="preserve"> čiji </w:t>
      </w:r>
      <w:r w:rsidR="00071C86" w:rsidRPr="00287D10">
        <w:rPr>
          <w:rFonts w:ascii="Arial" w:eastAsia="Times New Roman" w:hAnsi="Arial" w:cs="Arial"/>
          <w:sz w:val="24"/>
          <w:szCs w:val="24"/>
          <w:lang w:eastAsia="hr-HR"/>
        </w:rPr>
        <w:t>su korisnici, odnosno Jedinstvenom upravnom odjelu Općine Gračac.</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Proračunski korisnik u financijskom planu treba iskazati sve svoje prihode i rashode bez obzira na moguće uplate dijela prihoda korisnika u proračun </w:t>
      </w:r>
      <w:r w:rsidR="00071C86"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ili podmirivanje dijela rashoda korisnika izravno s računa </w:t>
      </w:r>
      <w:r w:rsidR="00071C86"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b/>
          <w:sz w:val="24"/>
          <w:szCs w:val="24"/>
          <w:lang w:eastAsia="hr-HR"/>
        </w:rPr>
        <w:t xml:space="preserve">Prijedlog financijskog plana </w:t>
      </w:r>
      <w:r w:rsidRPr="00287D10">
        <w:rPr>
          <w:rFonts w:ascii="Arial" w:eastAsia="Times New Roman" w:hAnsi="Arial" w:cs="Arial"/>
          <w:sz w:val="24"/>
          <w:szCs w:val="24"/>
          <w:lang w:eastAsia="hr-HR"/>
        </w:rPr>
        <w:t xml:space="preserve">proračunskog </w:t>
      </w:r>
      <w:r w:rsidR="00071C86" w:rsidRPr="00287D10">
        <w:rPr>
          <w:rFonts w:ascii="Arial" w:eastAsia="Times New Roman" w:hAnsi="Arial" w:cs="Arial"/>
          <w:sz w:val="24"/>
          <w:szCs w:val="24"/>
          <w:lang w:eastAsia="hr-HR"/>
        </w:rPr>
        <w:t xml:space="preserve">korisnika </w:t>
      </w:r>
      <w:r w:rsidRPr="00287D10">
        <w:rPr>
          <w:rFonts w:ascii="Arial" w:eastAsia="Times New Roman" w:hAnsi="Arial" w:cs="Arial"/>
          <w:sz w:val="24"/>
          <w:szCs w:val="24"/>
          <w:lang w:eastAsia="hr-HR"/>
        </w:rPr>
        <w:t>za razdoblje 2018. - 2020. u skladu s odredbama Zakona o proračunu sadrži:</w:t>
      </w: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lastRenderedPageBreak/>
        <w:t>•</w:t>
      </w:r>
      <w:r w:rsidRPr="00287D10">
        <w:rPr>
          <w:rFonts w:ascii="Arial" w:eastAsia="Times New Roman" w:hAnsi="Arial" w:cs="Arial"/>
          <w:sz w:val="24"/>
          <w:szCs w:val="24"/>
          <w:lang w:eastAsia="hr-HR"/>
        </w:rPr>
        <w:tab/>
        <w:t>procjene prihoda i primitaka iskazane po vrstama za razdoblje 2018. - 2020.,</w:t>
      </w:r>
    </w:p>
    <w:p w:rsidR="00297560" w:rsidRPr="00287D10" w:rsidRDefault="00297560" w:rsidP="006464A0">
      <w:pPr>
        <w:spacing w:after="0" w:line="240" w:lineRule="auto"/>
        <w:ind w:left="705" w:hanging="705"/>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w:t>
      </w:r>
      <w:r w:rsidRPr="00287D10">
        <w:rPr>
          <w:rFonts w:ascii="Arial" w:eastAsia="Times New Roman" w:hAnsi="Arial" w:cs="Arial"/>
          <w:sz w:val="24"/>
          <w:szCs w:val="24"/>
          <w:lang w:eastAsia="hr-HR"/>
        </w:rPr>
        <w:tab/>
        <w:t>plan rashoda i izdataka za razdoblje 2018. - 2020., razvrstane prema proračunskim klasifikacijama i</w:t>
      </w: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w:t>
      </w:r>
      <w:r w:rsidRPr="00287D10">
        <w:rPr>
          <w:rFonts w:ascii="Arial" w:eastAsia="Times New Roman" w:hAnsi="Arial" w:cs="Arial"/>
          <w:sz w:val="24"/>
          <w:szCs w:val="24"/>
          <w:lang w:eastAsia="hr-HR"/>
        </w:rPr>
        <w:tab/>
        <w:t>obrazloženje prijedloga financijskog plana.</w:t>
      </w:r>
    </w:p>
    <w:p w:rsidR="00071C86" w:rsidRPr="00287D10" w:rsidRDefault="00071C86"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Proračunski korisnik </w:t>
      </w:r>
      <w:r w:rsidR="00071C86"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prihode i primitke, rashode i izdatke za 2018. godinu planira na razini podskupine (treća razina računskog plana), a za 2019. i 2020. na razini skupine (druga razina računskog plana). </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Uz ekonomsku i programsku klasifikaciju, proračunski korisnici u izradi financijskog plana primjenjuju </w:t>
      </w:r>
      <w:r w:rsidR="002A7D78" w:rsidRPr="00287D10">
        <w:rPr>
          <w:rFonts w:ascii="Arial" w:eastAsia="Times New Roman" w:hAnsi="Arial" w:cs="Arial"/>
          <w:sz w:val="24"/>
          <w:szCs w:val="24"/>
          <w:lang w:eastAsia="hr-HR"/>
        </w:rPr>
        <w:t xml:space="preserve">i </w:t>
      </w:r>
      <w:r w:rsidRPr="00287D10">
        <w:rPr>
          <w:rFonts w:ascii="Arial" w:eastAsia="Times New Roman" w:hAnsi="Arial" w:cs="Arial"/>
          <w:sz w:val="24"/>
          <w:szCs w:val="24"/>
          <w:lang w:eastAsia="hr-HR"/>
        </w:rPr>
        <w:t xml:space="preserve">klasifikaciju po izvorima financiranja. </w:t>
      </w:r>
    </w:p>
    <w:p w:rsidR="006A7C4C" w:rsidRPr="00287D10" w:rsidRDefault="006A7C4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                                                                                                                                                                                                                                                                                                                                                                                                                                        </w:t>
      </w:r>
    </w:p>
    <w:p w:rsidR="00297560" w:rsidRPr="00287D10" w:rsidRDefault="00297560" w:rsidP="006464A0">
      <w:pPr>
        <w:spacing w:after="0" w:line="240" w:lineRule="auto"/>
        <w:jc w:val="both"/>
        <w:rPr>
          <w:rFonts w:ascii="Arial" w:eastAsia="Times New Roman" w:hAnsi="Arial" w:cs="Arial"/>
          <w:b/>
          <w:sz w:val="24"/>
          <w:szCs w:val="24"/>
          <w:lang w:eastAsia="hr-HR"/>
        </w:rPr>
      </w:pPr>
      <w:r w:rsidRPr="00287D10">
        <w:rPr>
          <w:rFonts w:ascii="Arial" w:eastAsia="Times New Roman" w:hAnsi="Arial" w:cs="Arial"/>
          <w:sz w:val="24"/>
          <w:szCs w:val="24"/>
          <w:lang w:eastAsia="hr-HR"/>
        </w:rPr>
        <w:t>Upravna vijeća i ostala upravljačka tijela proračunskih korisnika jedinica (</w:t>
      </w:r>
      <w:r w:rsidR="00071C86" w:rsidRPr="00287D10">
        <w:rPr>
          <w:rFonts w:ascii="Arial" w:eastAsia="Times New Roman" w:hAnsi="Arial" w:cs="Arial"/>
          <w:sz w:val="24"/>
          <w:szCs w:val="24"/>
          <w:lang w:eastAsia="hr-HR"/>
        </w:rPr>
        <w:t xml:space="preserve">javne vatrogasne postrojbe, </w:t>
      </w:r>
      <w:r w:rsidRPr="00287D10">
        <w:rPr>
          <w:rFonts w:ascii="Arial" w:eastAsia="Times New Roman" w:hAnsi="Arial" w:cs="Arial"/>
          <w:sz w:val="24"/>
          <w:szCs w:val="24"/>
          <w:lang w:eastAsia="hr-HR"/>
        </w:rPr>
        <w:t xml:space="preserve">vrtići, knjižnice…) </w:t>
      </w:r>
      <w:r w:rsidRPr="00287D10">
        <w:rPr>
          <w:rFonts w:ascii="Arial" w:eastAsia="Times New Roman" w:hAnsi="Arial" w:cs="Arial"/>
          <w:b/>
          <w:sz w:val="24"/>
          <w:szCs w:val="24"/>
          <w:lang w:eastAsia="hr-HR"/>
        </w:rPr>
        <w:t>obvezni su usvojiti financijski plan do kraja godine</w:t>
      </w:r>
      <w:r w:rsidRPr="00287D10">
        <w:rPr>
          <w:rFonts w:ascii="Arial" w:eastAsia="Times New Roman" w:hAnsi="Arial" w:cs="Arial"/>
          <w:sz w:val="24"/>
          <w:szCs w:val="24"/>
          <w:lang w:eastAsia="hr-HR"/>
        </w:rPr>
        <w:t xml:space="preserve">, kako bi se od 1. siječnja 2018. mogle preuzimati i izvršavati nove obveze. </w:t>
      </w:r>
      <w:r w:rsidR="00AC16C3" w:rsidRPr="00287D10">
        <w:rPr>
          <w:rFonts w:ascii="Arial" w:eastAsia="Times New Roman" w:hAnsi="Arial" w:cs="Arial"/>
          <w:b/>
          <w:sz w:val="24"/>
          <w:szCs w:val="24"/>
          <w:lang w:eastAsia="hr-HR"/>
        </w:rPr>
        <w:t xml:space="preserve">Napominje se da dostavljeni prijedlog financijskog plana nije </w:t>
      </w:r>
      <w:r w:rsidR="00DB64CB" w:rsidRPr="00287D10">
        <w:rPr>
          <w:rFonts w:ascii="Arial" w:eastAsia="Times New Roman" w:hAnsi="Arial" w:cs="Arial"/>
          <w:b/>
          <w:sz w:val="24"/>
          <w:szCs w:val="24"/>
          <w:lang w:eastAsia="hr-HR"/>
        </w:rPr>
        <w:t>ujedno</w:t>
      </w:r>
      <w:r w:rsidR="00AC16C3" w:rsidRPr="00287D10">
        <w:rPr>
          <w:rFonts w:ascii="Arial" w:eastAsia="Times New Roman" w:hAnsi="Arial" w:cs="Arial"/>
          <w:b/>
          <w:sz w:val="24"/>
          <w:szCs w:val="24"/>
          <w:lang w:eastAsia="hr-HR"/>
        </w:rPr>
        <w:t xml:space="preserve"> i usvojeni financijski plan!</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DB64CB"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P</w:t>
      </w:r>
      <w:r w:rsidR="00297560" w:rsidRPr="00287D10">
        <w:rPr>
          <w:rFonts w:ascii="Arial" w:eastAsia="Times New Roman" w:hAnsi="Arial" w:cs="Arial"/>
          <w:sz w:val="24"/>
          <w:szCs w:val="24"/>
          <w:lang w:eastAsia="hr-HR"/>
        </w:rPr>
        <w:t>roračunski korisnik može izrađivati i prijedlog financijskog plana na razini odjeljka (četvrta razina računskog plana). Međutim upravno vijeće ili drugo upravljačko tijelo obvezno je usvojiti financijski plan korisnika, a predstavničko tijelo proračun za 2018. godinu na razini podskupine (treća razina računskog plana), a projekcije za 2019. i 2020. godinu na razini skupine (druga razina računskog plana).</w:t>
      </w:r>
    </w:p>
    <w:p w:rsidR="00566FAC" w:rsidRPr="00287D10" w:rsidRDefault="00566FAC" w:rsidP="0027714B">
      <w:pPr>
        <w:keepNext/>
        <w:keepLines/>
        <w:spacing w:before="200" w:after="0" w:line="240" w:lineRule="auto"/>
        <w:ind w:left="1080"/>
        <w:outlineLvl w:val="1"/>
        <w:rPr>
          <w:rFonts w:ascii="Arial" w:eastAsiaTheme="majorEastAsia" w:hAnsi="Arial" w:cs="Arial"/>
          <w:b/>
          <w:bCs/>
          <w:sz w:val="24"/>
          <w:szCs w:val="24"/>
          <w:lang w:eastAsia="hr-HR"/>
        </w:rPr>
      </w:pPr>
      <w:bookmarkStart w:id="1" w:name="_Toc491348191"/>
      <w:r w:rsidRPr="00287D10">
        <w:rPr>
          <w:rFonts w:ascii="Arial" w:eastAsiaTheme="majorEastAsia" w:hAnsi="Arial" w:cs="Arial"/>
          <w:b/>
          <w:bCs/>
          <w:sz w:val="24"/>
          <w:szCs w:val="24"/>
          <w:lang w:eastAsia="hr-HR"/>
        </w:rPr>
        <w:t>Planiranje viškova/manjkova iz prethodnih godina u financijskom planu proračunskog korisnika</w:t>
      </w:r>
      <w:bookmarkEnd w:id="1"/>
    </w:p>
    <w:p w:rsidR="006464A0" w:rsidRPr="00287D10" w:rsidRDefault="006464A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Financijski plan proračunskog korisnika treba biti uravnotežen. Izuzev prihoda i rashoda (korisnici najčešće nemaju primitaka i izdataka), u financijski plan je potrebno uključiti i predviđeni manjak, odnosno višak prihoda te s navedenim bilančnim kategorijama postići uravnoteženje. </w:t>
      </w:r>
    </w:p>
    <w:p w:rsidR="00DC3003" w:rsidRPr="00287D10" w:rsidRDefault="00DC3003" w:rsidP="006464A0">
      <w:pPr>
        <w:spacing w:after="0" w:line="240" w:lineRule="auto"/>
        <w:jc w:val="both"/>
        <w:rPr>
          <w:rFonts w:ascii="Arial" w:eastAsia="Times New Roman" w:hAnsi="Arial" w:cs="Arial"/>
          <w:sz w:val="24"/>
          <w:szCs w:val="24"/>
          <w:lang w:eastAsia="hr-HR"/>
        </w:rPr>
      </w:pPr>
    </w:p>
    <w:p w:rsidR="009452E8"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Financijski plan koji uključuje isključivo plan prihoda i rashoda bez rezultata poslovanja ne pruža cjelovit financijski okvir za donošenje odluka o budućoj potrošnji i izvorima financiranja. Evidentno je da izvori financiranja poslovanja korisnika nisu isključivo prihodi tekuće godine, već i viškovi iz prethodnih godina. </w:t>
      </w:r>
    </w:p>
    <w:p w:rsidR="009452E8" w:rsidRPr="00287D10" w:rsidRDefault="009452E8" w:rsidP="006464A0">
      <w:pPr>
        <w:spacing w:after="0" w:line="240" w:lineRule="auto"/>
        <w:jc w:val="both"/>
        <w:rPr>
          <w:rFonts w:ascii="Arial" w:eastAsia="Times New Roman" w:hAnsi="Arial" w:cs="Arial"/>
          <w:sz w:val="24"/>
          <w:szCs w:val="24"/>
          <w:lang w:eastAsia="hr-HR"/>
        </w:rPr>
      </w:pPr>
    </w:p>
    <w:p w:rsidR="006B7BBD" w:rsidRPr="00287D10" w:rsidRDefault="003333F5"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P</w:t>
      </w:r>
      <w:r w:rsidR="00297560" w:rsidRPr="00287D10">
        <w:rPr>
          <w:rFonts w:ascii="Arial" w:eastAsia="Times New Roman" w:hAnsi="Arial" w:cs="Arial"/>
          <w:sz w:val="24"/>
          <w:szCs w:val="24"/>
          <w:lang w:eastAsia="hr-HR"/>
        </w:rPr>
        <w:t xml:space="preserve">roračunski korisnici koji posluju s manjkom trebaju kroz financijski plan pokazati korekcije pogrešnih odluka iz prošlosti iz kojih su manjkovi proizašli i iznaći načine za njihovo pokriće. Manjkovi se mogu pokriti ili na teret novih izvora financiranja, odnosno rasta prihoda ili smanjenjem ukupne rashodovne strane u visini nastalih manjkova. </w:t>
      </w:r>
    </w:p>
    <w:p w:rsidR="006B7BBD" w:rsidRPr="00287D10" w:rsidRDefault="006B7BBD"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7714B">
        <w:rPr>
          <w:rFonts w:ascii="Arial" w:eastAsia="Times New Roman" w:hAnsi="Arial" w:cs="Arial"/>
          <w:sz w:val="24"/>
          <w:szCs w:val="24"/>
          <w:lang w:eastAsia="hr-HR"/>
        </w:rPr>
        <w:t>Često je pitanje može li se sukcesivno, kroz više godina planirati pokriće manjka iz prethodne(ih) godi</w:t>
      </w:r>
      <w:r w:rsidR="00BE6381" w:rsidRPr="0027714B">
        <w:rPr>
          <w:rFonts w:ascii="Arial" w:eastAsia="Times New Roman" w:hAnsi="Arial" w:cs="Arial"/>
          <w:sz w:val="24"/>
          <w:szCs w:val="24"/>
          <w:lang w:eastAsia="hr-HR"/>
        </w:rPr>
        <w:t>na.</w:t>
      </w:r>
      <w:r w:rsidRPr="0027714B">
        <w:rPr>
          <w:rFonts w:ascii="Arial" w:eastAsia="Times New Roman" w:hAnsi="Arial" w:cs="Arial"/>
          <w:sz w:val="24"/>
          <w:szCs w:val="24"/>
          <w:lang w:eastAsia="hr-HR"/>
        </w:rPr>
        <w:t xml:space="preserve"> Iznimno, kada proračunski korisnici dođu u situaciju da im preneseni manjak čini značajan dio ukupnog financijskog plana, odnosno</w:t>
      </w:r>
      <w:r w:rsidRPr="00287D10">
        <w:rPr>
          <w:rFonts w:ascii="Arial" w:eastAsia="Times New Roman" w:hAnsi="Arial" w:cs="Arial"/>
          <w:sz w:val="24"/>
          <w:szCs w:val="24"/>
          <w:lang w:eastAsia="hr-HR"/>
        </w:rPr>
        <w:t xml:space="preserve"> da ga s obzirom na projekciju prihoda i stvorene obveze ne mogu realno pokriti u jednoj godini (a da istodobno nastave pružati javnu uslugu zadovoljavajuće kvalitete), </w:t>
      </w:r>
      <w:r w:rsidR="006B7BBD" w:rsidRPr="00287D10">
        <w:rPr>
          <w:rFonts w:ascii="Arial" w:eastAsia="Times New Roman" w:hAnsi="Arial" w:cs="Arial"/>
          <w:sz w:val="24"/>
          <w:szCs w:val="24"/>
          <w:lang w:eastAsia="hr-HR"/>
        </w:rPr>
        <w:t>moguće</w:t>
      </w:r>
      <w:r w:rsidRPr="00287D10">
        <w:rPr>
          <w:rFonts w:ascii="Arial" w:eastAsia="Times New Roman" w:hAnsi="Arial" w:cs="Arial"/>
          <w:sz w:val="24"/>
          <w:szCs w:val="24"/>
          <w:lang w:eastAsia="hr-HR"/>
        </w:rPr>
        <w:t xml:space="preserve"> je sukcesivno planirati pokriće manjka kroz </w:t>
      </w:r>
      <w:r w:rsidR="009452E8" w:rsidRPr="00287D10">
        <w:rPr>
          <w:rFonts w:ascii="Arial" w:eastAsia="Times New Roman" w:hAnsi="Arial" w:cs="Arial"/>
          <w:sz w:val="24"/>
          <w:szCs w:val="24"/>
          <w:lang w:eastAsia="hr-HR"/>
        </w:rPr>
        <w:t xml:space="preserve">trogodišnje razdoblje </w:t>
      </w:r>
      <w:r w:rsidR="006B7BBD" w:rsidRPr="00287D10">
        <w:rPr>
          <w:rFonts w:ascii="Arial" w:eastAsia="Times New Roman" w:hAnsi="Arial" w:cs="Arial"/>
          <w:sz w:val="24"/>
          <w:szCs w:val="24"/>
          <w:lang w:eastAsia="hr-HR"/>
        </w:rPr>
        <w:t>za koje se financijski plan donosi</w:t>
      </w:r>
      <w:r w:rsidR="006E746D" w:rsidRPr="00287D10">
        <w:rPr>
          <w:rFonts w:ascii="Arial" w:eastAsia="Times New Roman" w:hAnsi="Arial" w:cs="Arial"/>
          <w:sz w:val="24"/>
          <w:szCs w:val="24"/>
          <w:lang w:eastAsia="hr-HR"/>
        </w:rPr>
        <w:t>,</w:t>
      </w:r>
      <w:r w:rsidR="006B7BBD" w:rsidRPr="00287D10">
        <w:rPr>
          <w:rFonts w:ascii="Arial" w:eastAsia="Times New Roman" w:hAnsi="Arial" w:cs="Arial"/>
          <w:sz w:val="24"/>
          <w:szCs w:val="24"/>
          <w:lang w:eastAsia="hr-HR"/>
        </w:rPr>
        <w:t xml:space="preserve"> s tim da nije moguće sav manjak prebaciti na posljednju </w:t>
      </w:r>
      <w:r w:rsidR="006B7BBD" w:rsidRPr="00287D10">
        <w:rPr>
          <w:rFonts w:ascii="Arial" w:eastAsia="Times New Roman" w:hAnsi="Arial" w:cs="Arial"/>
          <w:sz w:val="24"/>
          <w:szCs w:val="24"/>
          <w:lang w:eastAsia="hr-HR"/>
        </w:rPr>
        <w:lastRenderedPageBreak/>
        <w:t>godinu zadanog trogodišnjeg okvira</w:t>
      </w:r>
      <w:r w:rsidR="009452E8" w:rsidRPr="00287D10">
        <w:rPr>
          <w:rFonts w:ascii="Arial" w:eastAsia="Times New Roman" w:hAnsi="Arial" w:cs="Arial"/>
          <w:sz w:val="24"/>
          <w:szCs w:val="24"/>
          <w:lang w:eastAsia="hr-HR"/>
        </w:rPr>
        <w:t>.</w:t>
      </w:r>
      <w:r w:rsidRPr="00287D10">
        <w:rPr>
          <w:rFonts w:ascii="Arial" w:eastAsia="Times New Roman" w:hAnsi="Arial" w:cs="Arial"/>
          <w:sz w:val="24"/>
          <w:szCs w:val="24"/>
          <w:lang w:eastAsia="hr-HR"/>
        </w:rPr>
        <w:t xml:space="preserve"> </w:t>
      </w:r>
      <w:r w:rsidR="009452E8" w:rsidRPr="00287D10">
        <w:rPr>
          <w:rFonts w:ascii="Arial" w:eastAsia="Times New Roman" w:hAnsi="Arial" w:cs="Arial"/>
          <w:sz w:val="24"/>
          <w:szCs w:val="24"/>
          <w:lang w:eastAsia="hr-HR"/>
        </w:rPr>
        <w:t>Sukcesivno planiranje pokrića manjka</w:t>
      </w:r>
      <w:r w:rsidRPr="00287D10">
        <w:rPr>
          <w:rFonts w:ascii="Arial" w:eastAsia="Times New Roman" w:hAnsi="Arial" w:cs="Arial"/>
          <w:sz w:val="24"/>
          <w:szCs w:val="24"/>
          <w:lang w:eastAsia="hr-HR"/>
        </w:rPr>
        <w:t xml:space="preserve"> moguće</w:t>
      </w:r>
      <w:r w:rsidR="009452E8" w:rsidRPr="00287D10">
        <w:rPr>
          <w:rFonts w:ascii="Arial" w:eastAsia="Times New Roman" w:hAnsi="Arial" w:cs="Arial"/>
          <w:sz w:val="24"/>
          <w:szCs w:val="24"/>
          <w:lang w:eastAsia="hr-HR"/>
        </w:rPr>
        <w:t xml:space="preserve"> je</w:t>
      </w:r>
      <w:r w:rsidRPr="00287D10">
        <w:rPr>
          <w:rFonts w:ascii="Arial" w:eastAsia="Times New Roman" w:hAnsi="Arial" w:cs="Arial"/>
          <w:sz w:val="24"/>
          <w:szCs w:val="24"/>
          <w:lang w:eastAsia="hr-HR"/>
        </w:rPr>
        <w:t xml:space="preserve"> jedino pod uvjetom da se uz financijski plan donese i akt koji će sadržavati:</w:t>
      </w: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1.  analizu i ocjenu postojećeg financijskog stanja institucije, </w:t>
      </w: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2. prijedlog mjera za otklanjanja utvrđenih uzroka nastanka negativnog poslovanja te mjera za stabilno održivo poslovanje (to je skup mjera za povećanja visine i/ili strukture prihoda, poboljšanje naplate potraživanja, racionalizaciju poslovanja sa ciljem boljeg iskorištenja kapaciteta i snižavanja troškova, nova organizacijska struktura, promjene u razini zapošljavanja i sl.) i</w:t>
      </w: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3. akcijski plan provedbe navedenih mjera (s opisom mjere, načinom provedbe, rokom provedbe, imenom i prezimenom odgovorne osobe) s očekivanim financijskim i ekonomskim učinkom. </w:t>
      </w:r>
    </w:p>
    <w:p w:rsidR="00EB0999" w:rsidRPr="00287D10" w:rsidRDefault="00EB0999" w:rsidP="00EB0999">
      <w:pPr>
        <w:spacing w:after="0" w:line="240" w:lineRule="auto"/>
        <w:jc w:val="both"/>
        <w:rPr>
          <w:rFonts w:ascii="Arial" w:eastAsia="Times New Roman" w:hAnsi="Arial" w:cs="Arial"/>
          <w:sz w:val="24"/>
          <w:szCs w:val="24"/>
          <w:lang w:eastAsia="hr-HR"/>
        </w:rPr>
      </w:pPr>
    </w:p>
    <w:p w:rsidR="00EB0999" w:rsidRPr="00287D10" w:rsidRDefault="00EB0999" w:rsidP="00EB0999">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Dakle, takav dokument donosi tijelo koje usvaja i sam financijski plan – upravno vijeće ili drugo upravljačko tijelo.</w:t>
      </w:r>
    </w:p>
    <w:p w:rsidR="00942459" w:rsidRPr="00287D10" w:rsidRDefault="00942459" w:rsidP="006464A0">
      <w:pPr>
        <w:spacing w:after="0" w:line="240" w:lineRule="auto"/>
        <w:jc w:val="both"/>
        <w:rPr>
          <w:rFonts w:ascii="Arial" w:eastAsia="Times New Roman" w:hAnsi="Arial" w:cs="Arial"/>
          <w:sz w:val="24"/>
          <w:szCs w:val="24"/>
          <w:lang w:eastAsia="hr-HR"/>
        </w:rPr>
      </w:pPr>
    </w:p>
    <w:p w:rsidR="00EB0999" w:rsidRPr="00287D10" w:rsidRDefault="006B7BBD"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Primjenjujući </w:t>
      </w:r>
      <w:r w:rsidR="006E746D" w:rsidRPr="00287D10">
        <w:rPr>
          <w:rFonts w:ascii="Arial" w:eastAsia="Times New Roman" w:hAnsi="Arial" w:cs="Arial"/>
          <w:sz w:val="24"/>
          <w:szCs w:val="24"/>
          <w:lang w:eastAsia="hr-HR"/>
        </w:rPr>
        <w:t>sličnu</w:t>
      </w:r>
      <w:r w:rsidRPr="00287D10">
        <w:rPr>
          <w:rFonts w:ascii="Arial" w:eastAsia="Times New Roman" w:hAnsi="Arial" w:cs="Arial"/>
          <w:sz w:val="24"/>
          <w:szCs w:val="24"/>
          <w:lang w:eastAsia="hr-HR"/>
        </w:rPr>
        <w:t xml:space="preserve"> logiku, proračunski korisnici mogu </w:t>
      </w:r>
      <w:r w:rsidR="003333F5" w:rsidRPr="00287D10">
        <w:rPr>
          <w:rFonts w:ascii="Arial" w:eastAsia="Times New Roman" w:hAnsi="Arial" w:cs="Arial"/>
          <w:sz w:val="24"/>
          <w:szCs w:val="24"/>
          <w:lang w:eastAsia="hr-HR"/>
        </w:rPr>
        <w:t xml:space="preserve">iznimno </w:t>
      </w:r>
      <w:r w:rsidRPr="00287D10">
        <w:rPr>
          <w:rFonts w:ascii="Arial" w:eastAsia="Times New Roman" w:hAnsi="Arial" w:cs="Arial"/>
          <w:sz w:val="24"/>
          <w:szCs w:val="24"/>
          <w:lang w:eastAsia="hr-HR"/>
        </w:rPr>
        <w:t>sukcesivno planirati trošenje kumuliranog viška iz prethodne(ih) godin</w:t>
      </w:r>
      <w:r w:rsidR="00426590" w:rsidRPr="00287D10">
        <w:rPr>
          <w:rFonts w:ascii="Arial" w:eastAsia="Times New Roman" w:hAnsi="Arial" w:cs="Arial"/>
          <w:sz w:val="24"/>
          <w:szCs w:val="24"/>
          <w:lang w:eastAsia="hr-HR"/>
        </w:rPr>
        <w:t>e</w:t>
      </w:r>
      <w:r w:rsidR="000077A1" w:rsidRPr="00287D10">
        <w:rPr>
          <w:rFonts w:ascii="Arial" w:eastAsia="Times New Roman" w:hAnsi="Arial" w:cs="Arial"/>
          <w:sz w:val="24"/>
          <w:szCs w:val="24"/>
          <w:lang w:eastAsia="hr-HR"/>
        </w:rPr>
        <w:t xml:space="preserve">. </w:t>
      </w:r>
      <w:r w:rsidR="005E0045" w:rsidRPr="00287D10">
        <w:rPr>
          <w:rFonts w:ascii="Arial" w:eastAsia="Times New Roman" w:hAnsi="Arial" w:cs="Arial"/>
          <w:sz w:val="24"/>
          <w:szCs w:val="24"/>
          <w:lang w:eastAsia="hr-HR"/>
        </w:rPr>
        <w:t xml:space="preserve">Međutim, </w:t>
      </w:r>
      <w:r w:rsidR="00942459" w:rsidRPr="00287D10">
        <w:rPr>
          <w:rFonts w:ascii="Arial" w:eastAsia="Times New Roman" w:hAnsi="Arial" w:cs="Arial"/>
          <w:sz w:val="24"/>
          <w:szCs w:val="24"/>
          <w:lang w:eastAsia="hr-HR"/>
        </w:rPr>
        <w:t xml:space="preserve">i u tom slučaju upravljačko tijelo </w:t>
      </w:r>
      <w:r w:rsidR="000077A1" w:rsidRPr="00287D10">
        <w:rPr>
          <w:rFonts w:ascii="Arial" w:eastAsia="Times New Roman" w:hAnsi="Arial" w:cs="Arial"/>
          <w:sz w:val="24"/>
          <w:szCs w:val="24"/>
          <w:lang w:eastAsia="hr-HR"/>
        </w:rPr>
        <w:t xml:space="preserve">mora </w:t>
      </w:r>
      <w:r w:rsidR="00942459" w:rsidRPr="00287D10">
        <w:rPr>
          <w:rFonts w:ascii="Arial" w:eastAsia="Times New Roman" w:hAnsi="Arial" w:cs="Arial"/>
          <w:sz w:val="24"/>
          <w:szCs w:val="24"/>
          <w:lang w:eastAsia="hr-HR"/>
        </w:rPr>
        <w:t>potvrditi tako postupanje. Akt koj</w:t>
      </w:r>
      <w:r w:rsidR="00426590" w:rsidRPr="00287D10">
        <w:rPr>
          <w:rFonts w:ascii="Arial" w:eastAsia="Times New Roman" w:hAnsi="Arial" w:cs="Arial"/>
          <w:sz w:val="24"/>
          <w:szCs w:val="24"/>
          <w:lang w:eastAsia="hr-HR"/>
        </w:rPr>
        <w:t>i</w:t>
      </w:r>
      <w:r w:rsidR="00942459" w:rsidRPr="00287D10">
        <w:rPr>
          <w:rFonts w:ascii="Arial" w:eastAsia="Times New Roman" w:hAnsi="Arial" w:cs="Arial"/>
          <w:sz w:val="24"/>
          <w:szCs w:val="24"/>
          <w:lang w:eastAsia="hr-HR"/>
        </w:rPr>
        <w:t xml:space="preserve"> uz financijski plan donosi upravljačko tijelo svakako treba odgovoriti na pitanja </w:t>
      </w:r>
      <w:r w:rsidR="000077A1" w:rsidRPr="00287D10">
        <w:rPr>
          <w:rFonts w:ascii="Arial" w:eastAsia="Times New Roman" w:hAnsi="Arial" w:cs="Arial"/>
          <w:sz w:val="24"/>
          <w:szCs w:val="24"/>
          <w:lang w:eastAsia="hr-HR"/>
        </w:rPr>
        <w:t>nastanka tako značajnog viška</w:t>
      </w:r>
      <w:r w:rsidR="00942459" w:rsidRPr="00287D10">
        <w:rPr>
          <w:rFonts w:ascii="Arial" w:eastAsia="Times New Roman" w:hAnsi="Arial" w:cs="Arial"/>
          <w:sz w:val="24"/>
          <w:szCs w:val="24"/>
          <w:lang w:eastAsia="hr-HR"/>
        </w:rPr>
        <w:t xml:space="preserve">, </w:t>
      </w:r>
      <w:r w:rsidR="000077A1" w:rsidRPr="00287D10">
        <w:rPr>
          <w:rFonts w:ascii="Arial" w:eastAsia="Times New Roman" w:hAnsi="Arial" w:cs="Arial"/>
          <w:sz w:val="24"/>
          <w:szCs w:val="24"/>
          <w:lang w:eastAsia="hr-HR"/>
        </w:rPr>
        <w:t>stvaranja</w:t>
      </w:r>
      <w:r w:rsidR="00426590" w:rsidRPr="00287D10">
        <w:rPr>
          <w:rFonts w:ascii="Arial" w:eastAsia="Times New Roman" w:hAnsi="Arial" w:cs="Arial"/>
          <w:sz w:val="24"/>
          <w:szCs w:val="24"/>
          <w:lang w:eastAsia="hr-HR"/>
        </w:rPr>
        <w:t xml:space="preserve"> mogućnosti</w:t>
      </w:r>
      <w:r w:rsidR="000077A1" w:rsidRPr="00287D10">
        <w:rPr>
          <w:rFonts w:ascii="Arial" w:eastAsia="Times New Roman" w:hAnsi="Arial" w:cs="Arial"/>
          <w:sz w:val="24"/>
          <w:szCs w:val="24"/>
          <w:lang w:eastAsia="hr-HR"/>
        </w:rPr>
        <w:t xml:space="preserve"> za smanjenje ili ukidanj</w:t>
      </w:r>
      <w:r w:rsidR="00426590" w:rsidRPr="00287D10">
        <w:rPr>
          <w:rFonts w:ascii="Arial" w:eastAsia="Times New Roman" w:hAnsi="Arial" w:cs="Arial"/>
          <w:sz w:val="24"/>
          <w:szCs w:val="24"/>
          <w:lang w:eastAsia="hr-HR"/>
        </w:rPr>
        <w:t>e</w:t>
      </w:r>
      <w:r w:rsidR="000077A1" w:rsidRPr="00287D10">
        <w:rPr>
          <w:rFonts w:ascii="Arial" w:eastAsia="Times New Roman" w:hAnsi="Arial" w:cs="Arial"/>
          <w:sz w:val="24"/>
          <w:szCs w:val="24"/>
          <w:lang w:eastAsia="hr-HR"/>
        </w:rPr>
        <w:t xml:space="preserve"> određenih</w:t>
      </w:r>
      <w:r w:rsidR="00942459" w:rsidRPr="00287D10">
        <w:rPr>
          <w:rFonts w:ascii="Arial" w:eastAsia="Times New Roman" w:hAnsi="Arial" w:cs="Arial"/>
          <w:sz w:val="24"/>
          <w:szCs w:val="24"/>
          <w:lang w:eastAsia="hr-HR"/>
        </w:rPr>
        <w:t xml:space="preserve"> naknad</w:t>
      </w:r>
      <w:r w:rsidR="000077A1" w:rsidRPr="00287D10">
        <w:rPr>
          <w:rFonts w:ascii="Arial" w:eastAsia="Times New Roman" w:hAnsi="Arial" w:cs="Arial"/>
          <w:sz w:val="24"/>
          <w:szCs w:val="24"/>
          <w:lang w:eastAsia="hr-HR"/>
        </w:rPr>
        <w:t>a</w:t>
      </w:r>
      <w:r w:rsidR="00942459" w:rsidRPr="00287D10">
        <w:rPr>
          <w:rFonts w:ascii="Arial" w:eastAsia="Times New Roman" w:hAnsi="Arial" w:cs="Arial"/>
          <w:sz w:val="24"/>
          <w:szCs w:val="24"/>
          <w:lang w:eastAsia="hr-HR"/>
        </w:rPr>
        <w:t xml:space="preserve"> koje se naplaćuju za usluge koj</w:t>
      </w:r>
      <w:r w:rsidR="00426590" w:rsidRPr="00287D10">
        <w:rPr>
          <w:rFonts w:ascii="Arial" w:eastAsia="Times New Roman" w:hAnsi="Arial" w:cs="Arial"/>
          <w:sz w:val="24"/>
          <w:szCs w:val="24"/>
          <w:lang w:eastAsia="hr-HR"/>
        </w:rPr>
        <w:t>e pružaju proračunski korisnici te</w:t>
      </w:r>
      <w:r w:rsidR="00942459" w:rsidRPr="00287D10">
        <w:rPr>
          <w:rFonts w:ascii="Arial" w:eastAsia="Times New Roman" w:hAnsi="Arial" w:cs="Arial"/>
          <w:sz w:val="24"/>
          <w:szCs w:val="24"/>
          <w:lang w:eastAsia="hr-HR"/>
        </w:rPr>
        <w:t xml:space="preserve"> način</w:t>
      </w:r>
      <w:r w:rsidR="000077A1" w:rsidRPr="00287D10">
        <w:rPr>
          <w:rFonts w:ascii="Arial" w:eastAsia="Times New Roman" w:hAnsi="Arial" w:cs="Arial"/>
          <w:sz w:val="24"/>
          <w:szCs w:val="24"/>
          <w:lang w:eastAsia="hr-HR"/>
        </w:rPr>
        <w:t>a</w:t>
      </w:r>
      <w:r w:rsidR="00942459" w:rsidRPr="00287D10">
        <w:rPr>
          <w:rFonts w:ascii="Arial" w:eastAsia="Times New Roman" w:hAnsi="Arial" w:cs="Arial"/>
          <w:sz w:val="24"/>
          <w:szCs w:val="24"/>
          <w:lang w:eastAsia="hr-HR"/>
        </w:rPr>
        <w:t xml:space="preserve"> i svrhe </w:t>
      </w:r>
      <w:r w:rsidR="000077A1" w:rsidRPr="00287D10">
        <w:rPr>
          <w:rFonts w:ascii="Arial" w:eastAsia="Times New Roman" w:hAnsi="Arial" w:cs="Arial"/>
          <w:sz w:val="24"/>
          <w:szCs w:val="24"/>
          <w:lang w:eastAsia="hr-HR"/>
        </w:rPr>
        <w:t>za koju će se upotrijebiti</w:t>
      </w:r>
      <w:r w:rsidR="00942459" w:rsidRPr="00287D10">
        <w:rPr>
          <w:rFonts w:ascii="Arial" w:eastAsia="Times New Roman" w:hAnsi="Arial" w:cs="Arial"/>
          <w:sz w:val="24"/>
          <w:szCs w:val="24"/>
          <w:lang w:eastAsia="hr-HR"/>
        </w:rPr>
        <w:t xml:space="preserve"> navedeni višak u zadanom trogodišnjem okviru. </w:t>
      </w:r>
    </w:p>
    <w:p w:rsidR="00EB0999" w:rsidRPr="00287D10" w:rsidRDefault="00EB0999"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S druge strane, proračunski korisnici svjesni su potrebe uključivanja rezultata u financijski plan, ali najčešće ne znaju na koji način tehnički to provesti. Rezultat o kojem govorimo je u računovodstvenim evidencijama iskazan na podskupini računa 922 Višak/manjak prihoda.</w:t>
      </w:r>
    </w:p>
    <w:p w:rsidR="00B35A2E" w:rsidRPr="00287D10" w:rsidRDefault="00B35A2E"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Višak i manjak ne iskazuje se u financijskom planu na računima razreda 6/7 i 3/4, već se u sam financijski plan uključuje bilančna pozicija 922 Višak/manjak prihoda. Činjenica je da je konačni rezultat poslovanja poznat tek u siječnju godine za koju se donosi financijski plan pa se zbog toga prilikom planiranja tj. izrade financijskog plana u obzir uzima planirani rezultat poslovanja, odnosno njegova procjena rezultata poslovanja.</w:t>
      </w:r>
    </w:p>
    <w:p w:rsidR="00B35A2E" w:rsidRPr="00287D10" w:rsidRDefault="00B35A2E"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Model financijskog plana proračunskog korisnika proračuna </w:t>
      </w:r>
      <w:r w:rsidR="00DB64CB"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dan je u prilogu ovih Uputa. Sastoji se od Općeg dijela, Plana prihoda i primitaka te Plana rashoda i izdataka.</w:t>
      </w:r>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566FAC" w:rsidP="0027714B">
      <w:pPr>
        <w:keepNext/>
        <w:keepLines/>
        <w:spacing w:before="200" w:after="0" w:line="240" w:lineRule="auto"/>
        <w:ind w:left="1080"/>
        <w:outlineLvl w:val="1"/>
        <w:rPr>
          <w:rFonts w:ascii="Arial" w:eastAsiaTheme="majorEastAsia" w:hAnsi="Arial" w:cs="Arial"/>
          <w:b/>
          <w:bCs/>
          <w:sz w:val="24"/>
          <w:szCs w:val="24"/>
          <w:lang w:eastAsia="hr-HR"/>
        </w:rPr>
      </w:pPr>
      <w:bookmarkStart w:id="2" w:name="_Toc491348192"/>
      <w:r w:rsidRPr="00287D10">
        <w:rPr>
          <w:rFonts w:ascii="Arial" w:eastAsiaTheme="majorEastAsia" w:hAnsi="Arial" w:cs="Arial"/>
          <w:b/>
          <w:bCs/>
          <w:sz w:val="24"/>
          <w:szCs w:val="24"/>
          <w:lang w:eastAsia="hr-HR"/>
        </w:rPr>
        <w:t>Obrazloženje financijskog plana</w:t>
      </w:r>
      <w:bookmarkEnd w:id="2"/>
    </w:p>
    <w:p w:rsidR="00297560" w:rsidRPr="00287D10" w:rsidRDefault="00297560" w:rsidP="006464A0">
      <w:pPr>
        <w:spacing w:after="0" w:line="240" w:lineRule="auto"/>
        <w:jc w:val="both"/>
        <w:rPr>
          <w:rFonts w:ascii="Arial" w:eastAsia="Times New Roman" w:hAnsi="Arial" w:cs="Arial"/>
          <w:sz w:val="24"/>
          <w:szCs w:val="24"/>
          <w:lang w:eastAsia="hr-HR"/>
        </w:rPr>
      </w:pPr>
    </w:p>
    <w:p w:rsidR="00297560" w:rsidRPr="00287D10" w:rsidRDefault="00297560"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U prošlogodišnjim Uputama za izradu proračuna jedinica lokalne i područne (regionalne) samouprave za razdoblje 201</w:t>
      </w:r>
      <w:r w:rsidR="00B35A2E" w:rsidRPr="00287D10">
        <w:rPr>
          <w:rFonts w:ascii="Arial" w:eastAsia="Times New Roman" w:hAnsi="Arial" w:cs="Arial"/>
          <w:sz w:val="24"/>
          <w:szCs w:val="24"/>
          <w:lang w:eastAsia="hr-HR"/>
        </w:rPr>
        <w:t>7</w:t>
      </w:r>
      <w:r w:rsidR="00812457">
        <w:rPr>
          <w:rFonts w:ascii="Arial" w:eastAsia="Times New Roman" w:hAnsi="Arial" w:cs="Arial"/>
          <w:sz w:val="24"/>
          <w:szCs w:val="24"/>
          <w:lang w:eastAsia="hr-HR"/>
        </w:rPr>
        <w:t>.</w:t>
      </w:r>
      <w:r w:rsidRPr="00287D10">
        <w:rPr>
          <w:rFonts w:ascii="Arial" w:eastAsia="Times New Roman" w:hAnsi="Arial" w:cs="Arial"/>
          <w:sz w:val="24"/>
          <w:szCs w:val="24"/>
          <w:lang w:eastAsia="hr-HR"/>
        </w:rPr>
        <w:t>- 201</w:t>
      </w:r>
      <w:r w:rsidR="00B35A2E" w:rsidRPr="00287D10">
        <w:rPr>
          <w:rFonts w:ascii="Arial" w:eastAsia="Times New Roman" w:hAnsi="Arial" w:cs="Arial"/>
          <w:sz w:val="24"/>
          <w:szCs w:val="24"/>
          <w:lang w:eastAsia="hr-HR"/>
        </w:rPr>
        <w:t>9</w:t>
      </w:r>
      <w:r w:rsidRPr="00287D10">
        <w:rPr>
          <w:rFonts w:ascii="Arial" w:eastAsia="Times New Roman" w:hAnsi="Arial" w:cs="Arial"/>
          <w:sz w:val="24"/>
          <w:szCs w:val="24"/>
          <w:lang w:eastAsia="hr-HR"/>
        </w:rPr>
        <w:t>.  ukazano je na značaj obrazloženja kao sastavnog i zakonski obve</w:t>
      </w:r>
      <w:r w:rsidR="00B35A2E" w:rsidRPr="00287D10">
        <w:rPr>
          <w:rFonts w:ascii="Arial" w:eastAsia="Times New Roman" w:hAnsi="Arial" w:cs="Arial"/>
          <w:sz w:val="24"/>
          <w:szCs w:val="24"/>
          <w:lang w:eastAsia="hr-HR"/>
        </w:rPr>
        <w:t>znog dijela financijskog plana</w:t>
      </w:r>
      <w:r w:rsidR="00A560EC" w:rsidRPr="00287D10">
        <w:rPr>
          <w:rFonts w:ascii="Arial" w:eastAsia="Times New Roman" w:hAnsi="Arial" w:cs="Arial"/>
          <w:sz w:val="24"/>
          <w:szCs w:val="24"/>
          <w:lang w:eastAsia="hr-HR"/>
        </w:rPr>
        <w:t xml:space="preserve">, te je stavljen naglasak na ciljeve </w:t>
      </w:r>
      <w:r w:rsidRPr="00287D10">
        <w:rPr>
          <w:rFonts w:ascii="Arial" w:eastAsia="Times New Roman" w:hAnsi="Arial" w:cs="Arial"/>
          <w:sz w:val="24"/>
          <w:szCs w:val="24"/>
          <w:lang w:eastAsia="hr-HR"/>
        </w:rPr>
        <w:t xml:space="preserve">koji se namjeravaju postići i pokazatelje uspješnosti realizacije tih ciljeva. </w:t>
      </w:r>
      <w:r w:rsidR="00CF20C0" w:rsidRPr="00287D10">
        <w:rPr>
          <w:rFonts w:ascii="Arial" w:eastAsia="Times New Roman" w:hAnsi="Arial" w:cs="Arial"/>
          <w:sz w:val="24"/>
          <w:szCs w:val="24"/>
          <w:lang w:eastAsia="hr-HR"/>
        </w:rPr>
        <w:t>Posebno su dani primjeri pokazatelja uspješnosti, stoga jedinice ponovo upućujemo da pogledaju primjere sadržane u prošlogodišnjim Uputama.</w:t>
      </w:r>
    </w:p>
    <w:p w:rsidR="00297560" w:rsidRPr="00287D10" w:rsidRDefault="00297560" w:rsidP="006464A0">
      <w:pPr>
        <w:spacing w:after="0" w:line="240" w:lineRule="auto"/>
        <w:jc w:val="both"/>
        <w:rPr>
          <w:rFonts w:ascii="Arial" w:eastAsia="Times New Roman" w:hAnsi="Arial" w:cs="Arial"/>
          <w:sz w:val="24"/>
          <w:szCs w:val="24"/>
          <w:highlight w:val="green"/>
          <w:lang w:eastAsia="hr-HR"/>
        </w:rPr>
      </w:pPr>
    </w:p>
    <w:p w:rsidR="00A560EC" w:rsidRPr="00287D10" w:rsidRDefault="00566FAC" w:rsidP="00DB64CB">
      <w:pPr>
        <w:keepNext/>
        <w:keepLines/>
        <w:spacing w:before="200" w:after="0" w:line="240" w:lineRule="auto"/>
        <w:ind w:left="1080"/>
        <w:jc w:val="both"/>
        <w:outlineLvl w:val="1"/>
        <w:rPr>
          <w:rFonts w:ascii="Arial" w:eastAsia="Times New Roman" w:hAnsi="Arial" w:cs="Arial"/>
          <w:sz w:val="24"/>
          <w:szCs w:val="24"/>
          <w:lang w:eastAsia="hr-HR"/>
        </w:rPr>
      </w:pPr>
      <w:bookmarkStart w:id="3" w:name="_Toc491348193"/>
      <w:r w:rsidRPr="00287D10">
        <w:rPr>
          <w:rFonts w:ascii="Arial" w:eastAsiaTheme="majorEastAsia" w:hAnsi="Arial" w:cs="Arial"/>
          <w:b/>
          <w:bCs/>
          <w:sz w:val="24"/>
          <w:szCs w:val="24"/>
          <w:lang w:eastAsia="hr-HR"/>
        </w:rPr>
        <w:lastRenderedPageBreak/>
        <w:t xml:space="preserve">Postupak izmjene i dopune financijskog plana proračunskog korisnika </w:t>
      </w:r>
      <w:bookmarkEnd w:id="3"/>
    </w:p>
    <w:p w:rsidR="00566FAC" w:rsidRPr="00287D10" w:rsidRDefault="00566FAC" w:rsidP="006464A0">
      <w:pPr>
        <w:keepNext/>
        <w:keepLines/>
        <w:spacing w:before="200" w:after="0" w:line="240" w:lineRule="auto"/>
        <w:ind w:left="1080"/>
        <w:jc w:val="both"/>
        <w:outlineLvl w:val="1"/>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S obzirom da se posebni dio proračuna </w:t>
      </w:r>
      <w:r w:rsidR="00DB64CB" w:rsidRPr="00287D10">
        <w:rPr>
          <w:rFonts w:ascii="Arial" w:eastAsia="Times New Roman" w:hAnsi="Arial" w:cs="Arial"/>
          <w:sz w:val="24"/>
          <w:szCs w:val="24"/>
          <w:lang w:eastAsia="hr-HR"/>
        </w:rPr>
        <w:t>Općine Gračac</w:t>
      </w:r>
      <w:r w:rsidRPr="00287D10">
        <w:rPr>
          <w:rFonts w:ascii="Arial" w:eastAsia="Times New Roman" w:hAnsi="Arial" w:cs="Arial"/>
          <w:sz w:val="24"/>
          <w:szCs w:val="24"/>
          <w:lang w:eastAsia="hr-HR"/>
        </w:rPr>
        <w:t xml:space="preserve"> sastoji od financijskih planova proračunskih korisnika, razvidna je obveza uključivanja svih prihoda i primitaka, rashoda i izdataka svih proračunskih korisnika u proračun, sukladno ekonomskoj, programskoj, funkcijskoj, organizacijskoj, lokacijskoj klasifikaciji te svim izvorima financiranja. Navedeno je u skladu s  primjenom načela jedinstva i sveobuhvatnosti proračuna.</w:t>
      </w:r>
    </w:p>
    <w:p w:rsidR="00A560EC" w:rsidRPr="00287D10" w:rsidRDefault="00A560EC" w:rsidP="006464A0">
      <w:pPr>
        <w:spacing w:after="0" w:line="240" w:lineRule="auto"/>
        <w:jc w:val="both"/>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Prema Zakonu o proračunu te Pravilniku o proračunskom računovodstvu i Računskom planu namjenski prihodi i primici te vlastiti prihodi koje ostvare proračunski korisnici jedinica lokalne i područne (regionalne) samouprave, bez obzira na njihovu uključenost u proračun i sustav riznice, i nadalje ostaju prihodi i primici proračunskih korisnika te se tako i evidentiraju. Prihodi su proračunskih korisnika jer korisnici njima raspolažu, odnosno utvrđuju koji će se rashodi podmiriti iz tih izvora. </w:t>
      </w:r>
    </w:p>
    <w:p w:rsidR="00A560EC" w:rsidRPr="00287D10" w:rsidRDefault="00A560EC" w:rsidP="006464A0">
      <w:pPr>
        <w:spacing w:after="0" w:line="240" w:lineRule="auto"/>
        <w:jc w:val="both"/>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b/>
          <w:sz w:val="24"/>
          <w:szCs w:val="24"/>
          <w:lang w:eastAsia="hr-HR"/>
        </w:rPr>
      </w:pPr>
      <w:r w:rsidRPr="00287D10">
        <w:rPr>
          <w:rFonts w:ascii="Arial" w:eastAsia="Times New Roman" w:hAnsi="Arial" w:cs="Arial"/>
          <w:sz w:val="24"/>
          <w:szCs w:val="24"/>
          <w:lang w:eastAsia="hr-HR"/>
        </w:rPr>
        <w:t xml:space="preserve">Sukladno Zakonu o proračunu namjenski prihodi i primici te vlastiti prihodi uplaćuju se u proračun. Odlukom o izvršavanju proračuna moguće je odrediti izuzeće od obveze uplate ovih prihoda i primitaka u proračun. Izuzeće od uplate vlastitih i namjenskih prihoda i primitaka proračunskih korisnika ne znači izuzeće od planiranja navedenih prihoda u proračunu. Sukladno navedenom, ostvarivanje spomenutih prihoda i primitaka te trošenje rashoda financiranih iz ovih izvora, a izuzetih od uplate u proračun, </w:t>
      </w:r>
      <w:r w:rsidRPr="00287D10">
        <w:rPr>
          <w:rFonts w:ascii="Arial" w:eastAsia="Times New Roman" w:hAnsi="Arial" w:cs="Arial"/>
          <w:b/>
          <w:sz w:val="24"/>
          <w:szCs w:val="24"/>
          <w:lang w:eastAsia="hr-HR"/>
        </w:rPr>
        <w:t xml:space="preserve">mora se pratiti izvještajno na način kako je utvrdila </w:t>
      </w:r>
      <w:r w:rsidR="00C368CA" w:rsidRPr="00287D10">
        <w:rPr>
          <w:rFonts w:ascii="Arial" w:eastAsia="Times New Roman" w:hAnsi="Arial" w:cs="Arial"/>
          <w:b/>
          <w:sz w:val="24"/>
          <w:szCs w:val="24"/>
          <w:lang w:eastAsia="hr-HR"/>
        </w:rPr>
        <w:t>Općina Gračac.</w:t>
      </w:r>
    </w:p>
    <w:p w:rsidR="00A560EC" w:rsidRPr="00287D10" w:rsidRDefault="00A560EC" w:rsidP="006464A0">
      <w:pPr>
        <w:spacing w:after="0" w:line="240" w:lineRule="auto"/>
        <w:jc w:val="both"/>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Tijekom godine moguće su nepredviđene okolnosti koje dovode do neplaniranih ostvarenja  prihoda i primitaka te rashoda i izdataka proračunskih korisnika jedinice lokalne i područne (regionalne) samouprave. S obzirom da Zakon o proračunu ne propisuje proceduru u ovakvim slučajevima, proračunski korisnici bili su u dvojbi oko donošenja izmjena i dopuna financijskog plana radi usklađivanja s novim ostvarenjem prihoda i primitaka odnosno rashoda i izdataka.</w:t>
      </w:r>
    </w:p>
    <w:p w:rsidR="00A560EC" w:rsidRPr="00287D10" w:rsidRDefault="00A560EC" w:rsidP="006464A0">
      <w:pPr>
        <w:spacing w:after="0" w:line="240" w:lineRule="auto"/>
        <w:jc w:val="both"/>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Osnovno pitanje je mogu li upravljačka tijela donositi izmjene i dopune financijskog plana bez prethodne suglasnosti jedinice lokalne i područne (regionalne) samouprave, odnosno bez donošenja izmjena i dopuna proračuna jedinice lokalne i područne (regionalne) samouprave.</w:t>
      </w:r>
    </w:p>
    <w:p w:rsidR="00A560EC" w:rsidRPr="00287D10" w:rsidRDefault="00A560EC" w:rsidP="006464A0">
      <w:pPr>
        <w:spacing w:after="0" w:line="240" w:lineRule="auto"/>
        <w:jc w:val="both"/>
        <w:rPr>
          <w:rFonts w:ascii="Arial" w:eastAsia="Times New Roman" w:hAnsi="Arial" w:cs="Arial"/>
          <w:sz w:val="24"/>
          <w:szCs w:val="24"/>
          <w:lang w:eastAsia="hr-HR"/>
        </w:rPr>
      </w:pPr>
    </w:p>
    <w:p w:rsidR="00A560EC" w:rsidRPr="00287D10" w:rsidRDefault="00A560E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Kada je riječ o promjenama u financijskom planu proračunskih korisnika koje su vezane uz  financiranje iz izvora općih prihoda i primitaka odnosno iz nadležnog lokalnog proračuna, podrazumijeva se da navedenom nije moguće pristupiti bez suglasnosti jedinice lokalne i područne (regionalne) samouprave odnosno preraspodjela ili izmjena i dopuna proračuna. Međutim, promjene u financijskom planu vezane uz „fleksibilne“ izvore (vlastite i namjenske prihode i primitke) moguće je urediti na različite načine. Stoga </w:t>
      </w:r>
      <w:r w:rsidR="00C368CA" w:rsidRPr="00287D10">
        <w:rPr>
          <w:rFonts w:ascii="Arial" w:eastAsia="Times New Roman" w:hAnsi="Arial" w:cs="Arial"/>
          <w:sz w:val="24"/>
          <w:szCs w:val="24"/>
          <w:lang w:eastAsia="hr-HR"/>
        </w:rPr>
        <w:t>će Općina Gračac</w:t>
      </w:r>
      <w:r w:rsidRPr="00287D10">
        <w:rPr>
          <w:rFonts w:ascii="Arial" w:eastAsia="Times New Roman" w:hAnsi="Arial" w:cs="Arial"/>
          <w:sz w:val="24"/>
          <w:szCs w:val="24"/>
          <w:lang w:eastAsia="hr-HR"/>
        </w:rPr>
        <w:t xml:space="preserve"> razraditi proceduru za donošenje izmjena i dopuna financijskih planova proračunskih korisnika iz svoje nadležnosti odlukom o izvršavanju proračuna </w:t>
      </w:r>
      <w:r w:rsidR="00C368CA" w:rsidRPr="00287D10">
        <w:rPr>
          <w:rFonts w:ascii="Arial" w:eastAsia="Times New Roman" w:hAnsi="Arial" w:cs="Arial"/>
          <w:sz w:val="24"/>
          <w:szCs w:val="24"/>
          <w:lang w:eastAsia="hr-HR"/>
        </w:rPr>
        <w:t>Općine Gračac za 2018. godinu.</w:t>
      </w:r>
    </w:p>
    <w:p w:rsidR="00FB3B06" w:rsidRPr="00287D10" w:rsidRDefault="00FB3B06" w:rsidP="006464A0">
      <w:pPr>
        <w:spacing w:after="0" w:line="240" w:lineRule="auto"/>
        <w:jc w:val="both"/>
        <w:rPr>
          <w:rFonts w:ascii="Arial" w:eastAsia="Times New Roman" w:hAnsi="Arial" w:cs="Arial"/>
          <w:b/>
          <w:sz w:val="24"/>
          <w:szCs w:val="24"/>
          <w:lang w:eastAsia="hr-HR"/>
        </w:rPr>
      </w:pPr>
      <w:bookmarkStart w:id="4" w:name="_Toc459630278"/>
      <w:bookmarkStart w:id="5" w:name="_Toc459630279"/>
      <w:bookmarkStart w:id="6" w:name="_Toc459630280"/>
      <w:bookmarkStart w:id="7" w:name="_Toc459630281"/>
      <w:bookmarkEnd w:id="4"/>
      <w:bookmarkEnd w:id="5"/>
      <w:bookmarkEnd w:id="6"/>
      <w:bookmarkEnd w:id="7"/>
    </w:p>
    <w:p w:rsidR="00035DBB" w:rsidRPr="00287D10" w:rsidRDefault="00035DBB" w:rsidP="00C368CA">
      <w:pPr>
        <w:keepNext/>
        <w:keepLines/>
        <w:spacing w:before="480" w:after="0" w:line="240" w:lineRule="auto"/>
        <w:ind w:left="720"/>
        <w:jc w:val="both"/>
        <w:outlineLvl w:val="0"/>
        <w:rPr>
          <w:rFonts w:ascii="Arial" w:eastAsiaTheme="majorEastAsia" w:hAnsi="Arial" w:cs="Arial"/>
          <w:b/>
          <w:bCs/>
          <w:sz w:val="24"/>
          <w:szCs w:val="24"/>
          <w:lang w:eastAsia="hr-HR"/>
        </w:rPr>
      </w:pPr>
      <w:bookmarkStart w:id="8" w:name="_Toc491348203"/>
      <w:r w:rsidRPr="00287D10">
        <w:rPr>
          <w:rFonts w:ascii="Arial" w:eastAsiaTheme="majorEastAsia" w:hAnsi="Arial" w:cs="Arial"/>
          <w:b/>
          <w:bCs/>
          <w:sz w:val="24"/>
          <w:szCs w:val="24"/>
          <w:lang w:eastAsia="hr-HR"/>
        </w:rPr>
        <w:lastRenderedPageBreak/>
        <w:t>PLANIRANJE RASHODA PRORAČUNSKIH KORISNIKA U SKLOPU DECENTRALIZIRANIH FUNKCIJA</w:t>
      </w:r>
      <w:bookmarkEnd w:id="8"/>
    </w:p>
    <w:p w:rsidR="00612E81" w:rsidRPr="00287D10" w:rsidRDefault="00612E81" w:rsidP="006464A0">
      <w:pPr>
        <w:spacing w:line="240" w:lineRule="auto"/>
        <w:jc w:val="both"/>
        <w:rPr>
          <w:rFonts w:ascii="Arial" w:eastAsia="Times New Roman" w:hAnsi="Arial" w:cs="Arial"/>
          <w:b/>
          <w:sz w:val="24"/>
          <w:szCs w:val="24"/>
          <w:highlight w:val="yellow"/>
          <w:lang w:eastAsia="hr-HR"/>
        </w:rPr>
      </w:pPr>
    </w:p>
    <w:p w:rsidR="00166E35" w:rsidRPr="00287D10" w:rsidRDefault="006E15CF" w:rsidP="006464A0">
      <w:pPr>
        <w:spacing w:after="0" w:line="240" w:lineRule="auto"/>
        <w:jc w:val="both"/>
        <w:rPr>
          <w:rFonts w:ascii="Arial" w:hAnsi="Arial" w:cs="Arial"/>
          <w:color w:val="000000"/>
          <w:sz w:val="24"/>
          <w:szCs w:val="24"/>
        </w:rPr>
      </w:pPr>
      <w:r w:rsidRPr="00287D10">
        <w:rPr>
          <w:rFonts w:ascii="Arial" w:hAnsi="Arial" w:cs="Arial"/>
          <w:color w:val="000000"/>
          <w:sz w:val="24"/>
          <w:szCs w:val="24"/>
        </w:rPr>
        <w:t>Ukupan iznos sredstava potrebnih za osiguranje minimalnih financijskih standarda (bilančnih prava) u 2018. godini se planiraju uvećana za najviše 4% u odnosu na  prethodnu 2017. godinu.</w:t>
      </w:r>
    </w:p>
    <w:p w:rsidR="006E15CF" w:rsidRPr="00287D10" w:rsidRDefault="006E15CF" w:rsidP="006464A0">
      <w:pPr>
        <w:spacing w:after="0" w:line="240" w:lineRule="auto"/>
        <w:jc w:val="both"/>
        <w:rPr>
          <w:rFonts w:ascii="Arial" w:hAnsi="Arial" w:cs="Arial"/>
          <w:color w:val="000000"/>
          <w:sz w:val="24"/>
          <w:szCs w:val="24"/>
        </w:rPr>
      </w:pPr>
    </w:p>
    <w:p w:rsidR="00D9073C" w:rsidRPr="00287D10" w:rsidRDefault="00D9073C"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 xml:space="preserve">Tijela državne uprave koja su nadležna za decentralizirane funkcije, u suradnji s </w:t>
      </w:r>
      <w:r w:rsidRPr="00287D10">
        <w:rPr>
          <w:rFonts w:ascii="Arial" w:hAnsi="Arial" w:cs="Arial"/>
          <w:color w:val="000000"/>
          <w:sz w:val="24"/>
          <w:szCs w:val="24"/>
        </w:rPr>
        <w:t>nositeljima decentraliziranih funkcija</w:t>
      </w:r>
      <w:r w:rsidRPr="00287D10">
        <w:rPr>
          <w:rFonts w:ascii="Arial" w:hAnsi="Arial" w:cs="Arial"/>
          <w:sz w:val="24"/>
          <w:szCs w:val="24"/>
        </w:rPr>
        <w:t xml:space="preserve"> te u skladu s potrebama krajnjih korisnika (ustanova)</w:t>
      </w:r>
      <w:r w:rsidRPr="00287D10">
        <w:rPr>
          <w:rFonts w:ascii="Arial" w:hAnsi="Arial" w:cs="Arial"/>
          <w:color w:val="000000"/>
          <w:sz w:val="24"/>
          <w:szCs w:val="24"/>
        </w:rPr>
        <w:t xml:space="preserve">, </w:t>
      </w:r>
      <w:r w:rsidRPr="00287D10">
        <w:rPr>
          <w:rFonts w:ascii="Arial" w:eastAsia="Times New Roman" w:hAnsi="Arial" w:cs="Arial"/>
          <w:sz w:val="24"/>
          <w:szCs w:val="24"/>
          <w:lang w:eastAsia="hr-HR"/>
        </w:rPr>
        <w:t>određuju raspodjelu sredstava županijama, Gradu Zagrebu, gradovima i općinama unutar zadanih limita za svaku pojedinu decentraliziranu funkciju</w:t>
      </w:r>
      <w:r w:rsidRPr="00287D10">
        <w:rPr>
          <w:rFonts w:ascii="Arial" w:hAnsi="Arial" w:cs="Arial"/>
          <w:sz w:val="24"/>
          <w:szCs w:val="24"/>
        </w:rPr>
        <w:t xml:space="preserve">. </w:t>
      </w:r>
    </w:p>
    <w:p w:rsidR="00CC6BDD" w:rsidRPr="00287D10" w:rsidRDefault="00CC6BDD" w:rsidP="006464A0">
      <w:pPr>
        <w:spacing w:after="0" w:line="240" w:lineRule="auto"/>
        <w:jc w:val="both"/>
        <w:rPr>
          <w:rFonts w:ascii="Arial" w:eastAsia="Times New Roman" w:hAnsi="Arial" w:cs="Arial"/>
          <w:sz w:val="24"/>
          <w:szCs w:val="24"/>
          <w:lang w:eastAsia="hr-HR"/>
        </w:rPr>
      </w:pPr>
    </w:p>
    <w:p w:rsidR="00EA3CD7" w:rsidRPr="00287D10" w:rsidRDefault="006C1C70" w:rsidP="006464A0">
      <w:pPr>
        <w:spacing w:line="240" w:lineRule="auto"/>
        <w:jc w:val="both"/>
        <w:rPr>
          <w:rFonts w:ascii="Arial" w:hAnsi="Arial" w:cs="Arial"/>
          <w:sz w:val="24"/>
          <w:szCs w:val="24"/>
        </w:rPr>
      </w:pPr>
      <w:r w:rsidRPr="00287D10">
        <w:rPr>
          <w:rFonts w:ascii="Arial" w:hAnsi="Arial" w:cs="Arial"/>
          <w:sz w:val="24"/>
          <w:szCs w:val="24"/>
        </w:rPr>
        <w:t>S</w:t>
      </w:r>
      <w:r w:rsidR="00B2522A" w:rsidRPr="00287D10">
        <w:rPr>
          <w:rFonts w:ascii="Arial" w:hAnsi="Arial" w:cs="Arial"/>
          <w:sz w:val="24"/>
          <w:szCs w:val="24"/>
        </w:rPr>
        <w:t>redstva pomoći izravnanja za decentralizirane funkcije</w:t>
      </w:r>
      <w:r w:rsidR="00CD6E54" w:rsidRPr="00287D10">
        <w:rPr>
          <w:rFonts w:ascii="Arial" w:hAnsi="Arial" w:cs="Arial"/>
          <w:sz w:val="24"/>
          <w:szCs w:val="24"/>
        </w:rPr>
        <w:t>,</w:t>
      </w:r>
      <w:r w:rsidRPr="00287D10">
        <w:rPr>
          <w:rFonts w:ascii="Arial" w:hAnsi="Arial" w:cs="Arial"/>
          <w:sz w:val="24"/>
          <w:szCs w:val="24"/>
        </w:rPr>
        <w:t xml:space="preserve"> kao i 2017. godine</w:t>
      </w:r>
      <w:r w:rsidR="00CD6E54" w:rsidRPr="00287D10">
        <w:rPr>
          <w:rFonts w:ascii="Arial" w:hAnsi="Arial" w:cs="Arial"/>
          <w:sz w:val="24"/>
          <w:szCs w:val="24"/>
        </w:rPr>
        <w:t>,</w:t>
      </w:r>
      <w:r w:rsidRPr="00287D10">
        <w:rPr>
          <w:rFonts w:ascii="Arial" w:hAnsi="Arial" w:cs="Arial"/>
          <w:sz w:val="24"/>
          <w:szCs w:val="24"/>
        </w:rPr>
        <w:t xml:space="preserve"> </w:t>
      </w:r>
      <w:r w:rsidR="00CD6E54" w:rsidRPr="00287D10">
        <w:rPr>
          <w:rFonts w:ascii="Arial" w:hAnsi="Arial" w:cs="Arial"/>
          <w:sz w:val="24"/>
          <w:szCs w:val="24"/>
        </w:rPr>
        <w:t>bit</w:t>
      </w:r>
      <w:r w:rsidR="00B2522A" w:rsidRPr="00287D10">
        <w:rPr>
          <w:rFonts w:ascii="Arial" w:hAnsi="Arial" w:cs="Arial"/>
          <w:sz w:val="24"/>
          <w:szCs w:val="24"/>
        </w:rPr>
        <w:t xml:space="preserve"> će osigurana u državnom proračunu Republike Hrvatske na razdjelu</w:t>
      </w:r>
      <w:r w:rsidR="00B2522A" w:rsidRPr="00287D10">
        <w:rPr>
          <w:rFonts w:ascii="Arial" w:eastAsia="Times New Roman" w:hAnsi="Arial" w:cs="Arial"/>
          <w:sz w:val="24"/>
          <w:szCs w:val="24"/>
          <w:lang w:eastAsia="hr-HR"/>
        </w:rPr>
        <w:t xml:space="preserve"> tijela (ministarstva i druga tijela državne uprave) nadležnog za određenu decentraliziranu funkciju</w:t>
      </w:r>
      <w:r w:rsidR="00B2522A" w:rsidRPr="00287D10">
        <w:rPr>
          <w:rFonts w:ascii="Arial" w:hAnsi="Arial" w:cs="Arial"/>
          <w:sz w:val="24"/>
          <w:szCs w:val="24"/>
        </w:rPr>
        <w:t xml:space="preserve">. Radi se o sredstvima namijenjenima jedinicama lokalne i područne (regionalne) samouprave koje iz namjenskog udjela poreza na dohodak ostvare manje sredstava nego im je potrebno za dostizanje minimalnih financijskih standarda te imaju pravo na pomoć izravnanja. </w:t>
      </w:r>
    </w:p>
    <w:p w:rsidR="00EA3CD7" w:rsidRPr="00287D10" w:rsidRDefault="00EA3CD7" w:rsidP="006464A0">
      <w:pPr>
        <w:spacing w:line="240" w:lineRule="auto"/>
        <w:jc w:val="both"/>
        <w:rPr>
          <w:rFonts w:ascii="Arial" w:hAnsi="Arial" w:cs="Arial"/>
          <w:sz w:val="24"/>
          <w:szCs w:val="24"/>
        </w:rPr>
      </w:pPr>
      <w:r w:rsidRPr="00287D10">
        <w:rPr>
          <w:rFonts w:ascii="Arial" w:hAnsi="Arial" w:cs="Arial"/>
          <w:sz w:val="24"/>
          <w:szCs w:val="24"/>
        </w:rPr>
        <w:t>U Općini Gračac pomoći izravnanja za decentralizirane funkcije bit će osigurana u državnom proračunu Republike Hrvatske za decentralizirane funkcije vatrogastva, odnosno za proračunskog korisnika Vatrogasnu postrojbu Gračac.</w:t>
      </w:r>
    </w:p>
    <w:p w:rsidR="00597B28" w:rsidRDefault="00597B28" w:rsidP="006464A0">
      <w:pPr>
        <w:spacing w:line="240" w:lineRule="auto"/>
        <w:jc w:val="both"/>
        <w:rPr>
          <w:rFonts w:ascii="Arial" w:hAnsi="Arial" w:cs="Arial"/>
          <w:b/>
          <w:sz w:val="24"/>
          <w:szCs w:val="24"/>
        </w:rPr>
      </w:pPr>
      <w:r w:rsidRPr="00287D10">
        <w:rPr>
          <w:rFonts w:ascii="Arial" w:hAnsi="Arial" w:cs="Arial"/>
          <w:sz w:val="24"/>
          <w:szCs w:val="24"/>
        </w:rPr>
        <w:tab/>
      </w:r>
      <w:r w:rsidRPr="00287D10">
        <w:rPr>
          <w:rFonts w:ascii="Arial" w:hAnsi="Arial" w:cs="Arial"/>
          <w:b/>
          <w:sz w:val="24"/>
          <w:szCs w:val="24"/>
        </w:rPr>
        <w:t>TABLICA S LIMITIMA ZA IZRADU PRIJEDLOGA FINANCIJSKIH PLANOVA PRORAČUNSKIH KORISNIKA OPĆINE GRAČAC:</w:t>
      </w:r>
    </w:p>
    <w:tbl>
      <w:tblPr>
        <w:tblW w:w="5266" w:type="pct"/>
        <w:tblInd w:w="-318" w:type="dxa"/>
        <w:shd w:val="clear" w:color="auto" w:fill="FFFFFF" w:themeFill="background1"/>
        <w:tblLook w:val="04A0"/>
      </w:tblPr>
      <w:tblGrid>
        <w:gridCol w:w="1050"/>
        <w:gridCol w:w="917"/>
        <w:gridCol w:w="917"/>
        <w:gridCol w:w="917"/>
        <w:gridCol w:w="750"/>
        <w:gridCol w:w="917"/>
        <w:gridCol w:w="917"/>
        <w:gridCol w:w="750"/>
        <w:gridCol w:w="917"/>
        <w:gridCol w:w="917"/>
        <w:gridCol w:w="750"/>
        <w:gridCol w:w="917"/>
      </w:tblGrid>
      <w:tr w:rsidR="00426CE8" w:rsidRPr="00D86AEF" w:rsidTr="00426CE8">
        <w:trPr>
          <w:trHeight w:val="315"/>
        </w:trPr>
        <w:tc>
          <w:tcPr>
            <w:tcW w:w="448" w:type="pct"/>
            <w:vMerge w:val="restar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NAZIV</w:t>
            </w:r>
          </w:p>
        </w:tc>
        <w:tc>
          <w:tcPr>
            <w:tcW w:w="426" w:type="pct"/>
            <w:tcBorders>
              <w:top w:val="single" w:sz="8" w:space="0" w:color="auto"/>
              <w:left w:val="nil"/>
              <w:bottom w:val="nil"/>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IZVRŠENJE</w:t>
            </w:r>
          </w:p>
        </w:tc>
        <w:tc>
          <w:tcPr>
            <w:tcW w:w="426" w:type="pct"/>
            <w:tcBorders>
              <w:top w:val="single" w:sz="8" w:space="0" w:color="auto"/>
              <w:left w:val="nil"/>
              <w:bottom w:val="nil"/>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 xml:space="preserve">PLAN </w:t>
            </w:r>
          </w:p>
        </w:tc>
        <w:tc>
          <w:tcPr>
            <w:tcW w:w="3700" w:type="pct"/>
            <w:gridSpan w:val="9"/>
            <w:tcBorders>
              <w:top w:val="single" w:sz="8" w:space="0" w:color="auto"/>
              <w:left w:val="nil"/>
              <w:bottom w:val="single" w:sz="8" w:space="0" w:color="auto"/>
              <w:right w:val="single" w:sz="8" w:space="0" w:color="000000"/>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 xml:space="preserve">PLAN </w:t>
            </w:r>
          </w:p>
        </w:tc>
      </w:tr>
      <w:tr w:rsidR="00426CE8" w:rsidRPr="00D86AEF" w:rsidTr="00426CE8">
        <w:trPr>
          <w:trHeight w:val="315"/>
        </w:trPr>
        <w:tc>
          <w:tcPr>
            <w:tcW w:w="448" w:type="pct"/>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b/>
                <w:bCs/>
                <w:color w:val="000000"/>
                <w:sz w:val="12"/>
                <w:szCs w:val="12"/>
                <w:lang w:eastAsia="hr-HR"/>
              </w:rPr>
            </w:pPr>
          </w:p>
        </w:tc>
        <w:tc>
          <w:tcPr>
            <w:tcW w:w="426" w:type="pct"/>
            <w:vMerge w:val="restart"/>
            <w:tcBorders>
              <w:top w:val="nil"/>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2016.</w:t>
            </w:r>
          </w:p>
        </w:tc>
        <w:tc>
          <w:tcPr>
            <w:tcW w:w="426" w:type="pct"/>
            <w:vMerge w:val="restart"/>
            <w:tcBorders>
              <w:top w:val="nil"/>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2017.</w:t>
            </w:r>
          </w:p>
        </w:tc>
        <w:tc>
          <w:tcPr>
            <w:tcW w:w="1203" w:type="pct"/>
            <w:gridSpan w:val="3"/>
            <w:tcBorders>
              <w:top w:val="single" w:sz="8" w:space="0" w:color="auto"/>
              <w:left w:val="nil"/>
              <w:bottom w:val="single" w:sz="8" w:space="0" w:color="auto"/>
              <w:right w:val="single" w:sz="8" w:space="0" w:color="000000"/>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2018.</w:t>
            </w:r>
          </w:p>
        </w:tc>
        <w:tc>
          <w:tcPr>
            <w:tcW w:w="1203" w:type="pct"/>
            <w:gridSpan w:val="3"/>
            <w:tcBorders>
              <w:top w:val="single" w:sz="8" w:space="0" w:color="auto"/>
              <w:left w:val="nil"/>
              <w:bottom w:val="single" w:sz="8" w:space="0" w:color="auto"/>
              <w:right w:val="single" w:sz="8" w:space="0" w:color="000000"/>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2019.</w:t>
            </w:r>
          </w:p>
        </w:tc>
        <w:tc>
          <w:tcPr>
            <w:tcW w:w="1293" w:type="pct"/>
            <w:gridSpan w:val="3"/>
            <w:tcBorders>
              <w:top w:val="single" w:sz="8" w:space="0" w:color="auto"/>
              <w:left w:val="nil"/>
              <w:bottom w:val="single" w:sz="8" w:space="0" w:color="auto"/>
              <w:right w:val="single" w:sz="8" w:space="0" w:color="000000"/>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2020.</w:t>
            </w:r>
          </w:p>
        </w:tc>
      </w:tr>
      <w:tr w:rsidR="00D86AEF" w:rsidRPr="00D86AEF" w:rsidTr="00426CE8">
        <w:trPr>
          <w:trHeight w:val="315"/>
        </w:trPr>
        <w:tc>
          <w:tcPr>
            <w:tcW w:w="448" w:type="pct"/>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b/>
                <w:bCs/>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b/>
                <w:bCs/>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b/>
                <w:bCs/>
                <w:color w:val="000000"/>
                <w:sz w:val="12"/>
                <w:szCs w:val="12"/>
                <w:lang w:eastAsia="hr-HR"/>
              </w:rPr>
            </w:pP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1.</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2.</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UKUPNO</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1.</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2.</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UKUPNO</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1.</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Limit 2.</w:t>
            </w:r>
          </w:p>
        </w:tc>
        <w:tc>
          <w:tcPr>
            <w:tcW w:w="51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center"/>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UKUPNO</w:t>
            </w:r>
          </w:p>
        </w:tc>
      </w:tr>
      <w:tr w:rsidR="00426CE8" w:rsidRPr="00D86AEF" w:rsidTr="00426CE8">
        <w:trPr>
          <w:trHeight w:val="300"/>
        </w:trPr>
        <w:tc>
          <w:tcPr>
            <w:tcW w:w="448" w:type="pct"/>
            <w:vMerge w:val="restar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DJEČJI VRTIĆ BALTAZAR</w:t>
            </w:r>
          </w:p>
        </w:tc>
        <w:tc>
          <w:tcPr>
            <w:tcW w:w="426" w:type="pct"/>
            <w:vMerge w:val="restart"/>
            <w:tcBorders>
              <w:top w:val="single" w:sz="8" w:space="0" w:color="000000"/>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929.455,00</w:t>
            </w:r>
          </w:p>
        </w:tc>
        <w:tc>
          <w:tcPr>
            <w:tcW w:w="426" w:type="pct"/>
            <w:vMerge w:val="restart"/>
            <w:tcBorders>
              <w:top w:val="single" w:sz="8" w:space="0" w:color="000000"/>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960.000,00</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960.000,00</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15.000,00</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975.000,00</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965.000,00</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16.000,00</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981.000,00</w:t>
            </w:r>
          </w:p>
        </w:tc>
        <w:tc>
          <w:tcPr>
            <w:tcW w:w="42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970.000,00</w:t>
            </w:r>
          </w:p>
        </w:tc>
        <w:tc>
          <w:tcPr>
            <w:tcW w:w="351"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18.000,00</w:t>
            </w:r>
          </w:p>
        </w:tc>
        <w:tc>
          <w:tcPr>
            <w:tcW w:w="516" w:type="pct"/>
            <w:vMerge w:val="restart"/>
            <w:tcBorders>
              <w:top w:val="single" w:sz="8" w:space="0" w:color="auto"/>
              <w:left w:val="single" w:sz="8" w:space="0" w:color="auto"/>
              <w:bottom w:val="single" w:sz="8" w:space="0" w:color="000000"/>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988.000,00</w:t>
            </w:r>
          </w:p>
        </w:tc>
      </w:tr>
      <w:tr w:rsidR="00D86AEF" w:rsidRPr="00D86AEF" w:rsidTr="00426CE8">
        <w:trPr>
          <w:trHeight w:val="315"/>
        </w:trPr>
        <w:tc>
          <w:tcPr>
            <w:tcW w:w="448" w:type="pct"/>
            <w:vMerge/>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351"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351"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42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351"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c>
          <w:tcPr>
            <w:tcW w:w="516" w:type="pct"/>
            <w:vMerge/>
            <w:tcBorders>
              <w:top w:val="nil"/>
              <w:left w:val="single" w:sz="8" w:space="0" w:color="auto"/>
              <w:bottom w:val="single" w:sz="8" w:space="0" w:color="000000"/>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p>
        </w:tc>
      </w:tr>
      <w:tr w:rsidR="00426CE8" w:rsidRPr="00D86AEF" w:rsidTr="00426CE8">
        <w:trPr>
          <w:trHeight w:val="555"/>
        </w:trPr>
        <w:tc>
          <w:tcPr>
            <w:tcW w:w="44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KNJIŽNICA I ČITAONICA GRAČAC</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265.158,00</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268.000,00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260.000,00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25.000,00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285.000,00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265.000,00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25.000,00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290.000,00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270.000,00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20.000,00</w:t>
            </w:r>
          </w:p>
        </w:tc>
        <w:tc>
          <w:tcPr>
            <w:tcW w:w="51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290.000,00</w:t>
            </w:r>
          </w:p>
        </w:tc>
      </w:tr>
      <w:tr w:rsidR="00426CE8" w:rsidRPr="00D86AEF" w:rsidTr="00426CE8">
        <w:trPr>
          <w:trHeight w:val="555"/>
        </w:trPr>
        <w:tc>
          <w:tcPr>
            <w:tcW w:w="44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VATROGASNA POSTROJBA GRAČAC</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3.355.916,63</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3.357.156,00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3.400.000,00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3.400.000,00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3.410.000,00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3.410.000,00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3.420.000,00</w:t>
            </w:r>
          </w:p>
        </w:tc>
        <w:tc>
          <w:tcPr>
            <w:tcW w:w="351"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51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3.420.000,00</w:t>
            </w:r>
          </w:p>
        </w:tc>
      </w:tr>
      <w:tr w:rsidR="00426CE8" w:rsidRPr="00D86AEF" w:rsidTr="00426CE8">
        <w:trPr>
          <w:trHeight w:val="375"/>
        </w:trPr>
        <w:tc>
          <w:tcPr>
            <w:tcW w:w="44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MJESNI ODBOR SRB</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16.169,79</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15.500,00</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15.500,00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15.500,00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16.000,00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16.200,00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51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16.200,00</w:t>
            </w:r>
          </w:p>
        </w:tc>
      </w:tr>
      <w:tr w:rsidR="00426CE8" w:rsidRPr="00D86AEF" w:rsidTr="00426CE8">
        <w:trPr>
          <w:trHeight w:val="555"/>
        </w:trPr>
        <w:tc>
          <w:tcPr>
            <w:tcW w:w="44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VIJEĆE SRPSKE NACIONALNE MANJINE</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1.127,87</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20.000,00</w:t>
            </w:r>
          </w:p>
        </w:tc>
        <w:tc>
          <w:tcPr>
            <w:tcW w:w="426"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20.000,00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20.000,00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21.500,00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21.500,00</w:t>
            </w:r>
          </w:p>
        </w:tc>
        <w:tc>
          <w:tcPr>
            <w:tcW w:w="42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21.800,00</w:t>
            </w:r>
          </w:p>
        </w:tc>
        <w:tc>
          <w:tcPr>
            <w:tcW w:w="351" w:type="pct"/>
            <w:tcBorders>
              <w:top w:val="nil"/>
              <w:left w:val="nil"/>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0,00</w:t>
            </w:r>
          </w:p>
        </w:tc>
        <w:tc>
          <w:tcPr>
            <w:tcW w:w="516" w:type="pct"/>
            <w:tcBorders>
              <w:top w:val="nil"/>
              <w:left w:val="nil"/>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color w:val="000000"/>
                <w:sz w:val="12"/>
                <w:szCs w:val="12"/>
                <w:lang w:eastAsia="hr-HR"/>
              </w:rPr>
            </w:pPr>
            <w:r w:rsidRPr="00D86AEF">
              <w:rPr>
                <w:rFonts w:ascii="Arial" w:eastAsia="Times New Roman" w:hAnsi="Arial" w:cs="Arial"/>
                <w:color w:val="000000"/>
                <w:sz w:val="12"/>
                <w:szCs w:val="12"/>
                <w:lang w:eastAsia="hr-HR"/>
              </w:rPr>
              <w:t>21.800,00</w:t>
            </w:r>
          </w:p>
        </w:tc>
      </w:tr>
      <w:tr w:rsidR="00426CE8" w:rsidRPr="00D86AEF" w:rsidTr="00426CE8">
        <w:trPr>
          <w:trHeight w:val="300"/>
        </w:trPr>
        <w:tc>
          <w:tcPr>
            <w:tcW w:w="448" w:type="pct"/>
            <w:tcBorders>
              <w:top w:val="single" w:sz="8" w:space="0" w:color="auto"/>
              <w:left w:val="single" w:sz="8" w:space="0" w:color="auto"/>
              <w:bottom w:val="single" w:sz="8" w:space="0" w:color="auto"/>
              <w:right w:val="single" w:sz="8" w:space="0" w:color="auto"/>
            </w:tcBorders>
            <w:shd w:val="clear" w:color="auto" w:fill="FFFFFF" w:themeFill="background1"/>
            <w:vAlign w:val="center"/>
          </w:tcPr>
          <w:p w:rsidR="00D86AEF" w:rsidRPr="00D86AEF" w:rsidRDefault="00D86AEF" w:rsidP="000743C5">
            <w:pPr>
              <w:spacing w:after="0" w:line="240" w:lineRule="auto"/>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UKUPNO</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4.567.827,29</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4.620.656,00</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4.655.500,00</w:t>
            </w:r>
          </w:p>
        </w:tc>
        <w:tc>
          <w:tcPr>
            <w:tcW w:w="351"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40.000,00</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4.695.500,00</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4.677.500,00</w:t>
            </w:r>
          </w:p>
        </w:tc>
        <w:tc>
          <w:tcPr>
            <w:tcW w:w="351"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41.000,00</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4.718.500,00</w:t>
            </w:r>
          </w:p>
        </w:tc>
        <w:tc>
          <w:tcPr>
            <w:tcW w:w="42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4.698.000,00</w:t>
            </w:r>
          </w:p>
        </w:tc>
        <w:tc>
          <w:tcPr>
            <w:tcW w:w="351"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38.000,00</w:t>
            </w:r>
          </w:p>
        </w:tc>
        <w:tc>
          <w:tcPr>
            <w:tcW w:w="516" w:type="pct"/>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rsidR="00D86AEF" w:rsidRPr="00D86AEF" w:rsidRDefault="00D86AEF" w:rsidP="000743C5">
            <w:pPr>
              <w:spacing w:after="0" w:line="240" w:lineRule="auto"/>
              <w:jc w:val="right"/>
              <w:rPr>
                <w:rFonts w:ascii="Arial" w:eastAsia="Times New Roman" w:hAnsi="Arial" w:cs="Arial"/>
                <w:b/>
                <w:bCs/>
                <w:color w:val="000000"/>
                <w:sz w:val="12"/>
                <w:szCs w:val="12"/>
                <w:lang w:eastAsia="hr-HR"/>
              </w:rPr>
            </w:pPr>
            <w:r w:rsidRPr="00D86AEF">
              <w:rPr>
                <w:rFonts w:ascii="Arial" w:eastAsia="Times New Roman" w:hAnsi="Arial" w:cs="Arial"/>
                <w:b/>
                <w:bCs/>
                <w:color w:val="000000"/>
                <w:sz w:val="12"/>
                <w:szCs w:val="12"/>
                <w:lang w:eastAsia="hr-HR"/>
              </w:rPr>
              <w:t>4.736.000,00</w:t>
            </w:r>
          </w:p>
        </w:tc>
      </w:tr>
    </w:tbl>
    <w:p w:rsidR="00EA3CD7" w:rsidRPr="00287D10" w:rsidRDefault="00EA3CD7" w:rsidP="00EA3CD7">
      <w:pPr>
        <w:spacing w:after="0" w:line="240" w:lineRule="auto"/>
        <w:ind w:left="720"/>
        <w:rPr>
          <w:rFonts w:ascii="Arial" w:hAnsi="Arial" w:cs="Arial"/>
          <w:sz w:val="24"/>
          <w:szCs w:val="24"/>
        </w:rPr>
      </w:pPr>
    </w:p>
    <w:p w:rsidR="00EA3CD7" w:rsidRPr="00287D10" w:rsidRDefault="00EA3CD7" w:rsidP="00EA3CD7">
      <w:pPr>
        <w:rPr>
          <w:rFonts w:ascii="Arial" w:hAnsi="Arial" w:cs="Arial"/>
          <w:b/>
          <w:sz w:val="24"/>
          <w:szCs w:val="24"/>
        </w:rPr>
      </w:pPr>
    </w:p>
    <w:p w:rsidR="00EA3CD7" w:rsidRPr="0027714B" w:rsidRDefault="00EA3CD7" w:rsidP="0027714B">
      <w:pPr>
        <w:pStyle w:val="NoSpacing"/>
        <w:jc w:val="both"/>
        <w:rPr>
          <w:rFonts w:ascii="Arial" w:hAnsi="Arial" w:cs="Arial"/>
          <w:sz w:val="24"/>
          <w:szCs w:val="24"/>
        </w:rPr>
      </w:pPr>
      <w:r w:rsidRPr="0027714B">
        <w:rPr>
          <w:rFonts w:ascii="Arial" w:hAnsi="Arial" w:cs="Arial"/>
          <w:b/>
          <w:sz w:val="24"/>
          <w:szCs w:val="24"/>
        </w:rPr>
        <w:t>Proračunski korisnici Proračuna Općine Gračac dužni su usuglasiti i dostaviti prijedloge  svojih financijskih  planova Jedinstvenom upravnom odjelu Općine Gračac do 13. listopada 2017. godine.</w:t>
      </w:r>
      <w:r w:rsidRPr="0027714B">
        <w:rPr>
          <w:rFonts w:ascii="Arial" w:hAnsi="Arial" w:cs="Arial"/>
          <w:sz w:val="24"/>
          <w:szCs w:val="24"/>
        </w:rPr>
        <w:t xml:space="preserve"> Prijedlozi financijskih planova moraju biti izrađeni sukladno propisanoj metodologiji i financijskim okvirima iz ovih Uputa.</w:t>
      </w:r>
    </w:p>
    <w:p w:rsidR="00EA3CD7" w:rsidRPr="0027714B" w:rsidRDefault="00EA3CD7" w:rsidP="0027714B">
      <w:pPr>
        <w:pStyle w:val="NoSpacing"/>
        <w:jc w:val="both"/>
        <w:rPr>
          <w:rFonts w:ascii="Arial" w:hAnsi="Arial" w:cs="Arial"/>
          <w:sz w:val="24"/>
          <w:szCs w:val="24"/>
        </w:rPr>
      </w:pPr>
    </w:p>
    <w:p w:rsidR="00EA3CD7" w:rsidRPr="0027714B" w:rsidRDefault="00EA3CD7" w:rsidP="0027714B">
      <w:pPr>
        <w:pStyle w:val="NoSpacing"/>
        <w:jc w:val="both"/>
        <w:rPr>
          <w:rFonts w:ascii="Arial" w:hAnsi="Arial" w:cs="Arial"/>
          <w:sz w:val="24"/>
          <w:szCs w:val="24"/>
        </w:rPr>
      </w:pPr>
      <w:r w:rsidRPr="0027714B">
        <w:rPr>
          <w:rFonts w:ascii="Arial" w:hAnsi="Arial" w:cs="Arial"/>
          <w:sz w:val="24"/>
          <w:szCs w:val="24"/>
        </w:rPr>
        <w:lastRenderedPageBreak/>
        <w:t xml:space="preserve">Jedinstveni upravni odjel </w:t>
      </w:r>
      <w:r w:rsidR="00426CE8">
        <w:rPr>
          <w:rFonts w:ascii="Arial" w:hAnsi="Arial" w:cs="Arial"/>
          <w:sz w:val="24"/>
          <w:szCs w:val="24"/>
        </w:rPr>
        <w:t>izvršit</w:t>
      </w:r>
      <w:r w:rsidRPr="0027714B">
        <w:rPr>
          <w:rFonts w:ascii="Arial" w:hAnsi="Arial" w:cs="Arial"/>
          <w:sz w:val="24"/>
          <w:szCs w:val="24"/>
        </w:rPr>
        <w:t xml:space="preserve"> će usuglašavanje zahtjeva sa procijenjenim proračunskim prihodima i izraditi nacrt Proračuna za 2018. godinu</w:t>
      </w:r>
      <w:r w:rsidR="00426CE8">
        <w:rPr>
          <w:rFonts w:ascii="Arial" w:hAnsi="Arial" w:cs="Arial"/>
          <w:sz w:val="24"/>
          <w:szCs w:val="24"/>
        </w:rPr>
        <w:t>,  zajedno s</w:t>
      </w:r>
      <w:r w:rsidRPr="0027714B">
        <w:rPr>
          <w:rFonts w:ascii="Arial" w:hAnsi="Arial" w:cs="Arial"/>
          <w:sz w:val="24"/>
          <w:szCs w:val="24"/>
        </w:rPr>
        <w:t xml:space="preserve"> projekcijama za sljedeće dvije godine</w:t>
      </w:r>
      <w:r w:rsidR="00426CE8">
        <w:rPr>
          <w:rFonts w:ascii="Arial" w:hAnsi="Arial" w:cs="Arial"/>
          <w:sz w:val="24"/>
          <w:szCs w:val="24"/>
        </w:rPr>
        <w:t>,</w:t>
      </w:r>
      <w:r w:rsidRPr="0027714B">
        <w:rPr>
          <w:rFonts w:ascii="Arial" w:hAnsi="Arial" w:cs="Arial"/>
          <w:sz w:val="24"/>
          <w:szCs w:val="24"/>
        </w:rPr>
        <w:t xml:space="preserve"> koji će biti upućen općinskoj načelnici  do 15. listopada 2017. godine.</w:t>
      </w:r>
    </w:p>
    <w:p w:rsidR="00EA3CD7" w:rsidRPr="0027714B" w:rsidRDefault="00EA3CD7" w:rsidP="0027714B">
      <w:pPr>
        <w:pStyle w:val="NoSpacing"/>
        <w:jc w:val="both"/>
        <w:rPr>
          <w:rFonts w:ascii="Arial" w:hAnsi="Arial" w:cs="Arial"/>
          <w:sz w:val="24"/>
          <w:szCs w:val="24"/>
        </w:rPr>
      </w:pPr>
    </w:p>
    <w:p w:rsidR="00EA3CD7" w:rsidRPr="0027714B" w:rsidRDefault="00EA3CD7" w:rsidP="0027714B">
      <w:pPr>
        <w:pStyle w:val="NoSpacing"/>
        <w:jc w:val="both"/>
        <w:rPr>
          <w:rFonts w:ascii="Arial" w:hAnsi="Arial" w:cs="Arial"/>
          <w:sz w:val="24"/>
          <w:szCs w:val="24"/>
        </w:rPr>
      </w:pPr>
      <w:r w:rsidRPr="0027714B">
        <w:rPr>
          <w:rFonts w:ascii="Arial" w:hAnsi="Arial" w:cs="Arial"/>
          <w:sz w:val="24"/>
          <w:szCs w:val="24"/>
        </w:rPr>
        <w:t xml:space="preserve">Općinska načelnica utvrđuje prijedlog Proračuna Općine Gračac za 2018. godinu i projekcija za sljedeće dvije godine te ih podnosi Općinskom vijeću na donošenje do 15. studenog 2017. godine.    </w:t>
      </w:r>
    </w:p>
    <w:p w:rsidR="00EA3CD7" w:rsidRPr="0027714B" w:rsidRDefault="00EA3CD7" w:rsidP="0027714B">
      <w:pPr>
        <w:pStyle w:val="NoSpacing"/>
        <w:jc w:val="both"/>
        <w:rPr>
          <w:rFonts w:ascii="Arial" w:hAnsi="Arial" w:cs="Arial"/>
          <w:sz w:val="24"/>
          <w:szCs w:val="24"/>
        </w:rPr>
      </w:pPr>
    </w:p>
    <w:p w:rsidR="00EA3CD7" w:rsidRPr="0027714B" w:rsidRDefault="00EA3CD7" w:rsidP="0027714B">
      <w:pPr>
        <w:pStyle w:val="NoSpacing"/>
        <w:jc w:val="both"/>
        <w:rPr>
          <w:rFonts w:ascii="Arial" w:hAnsi="Arial" w:cs="Arial"/>
          <w:b/>
          <w:sz w:val="24"/>
          <w:szCs w:val="24"/>
        </w:rPr>
      </w:pPr>
      <w:r w:rsidRPr="0027714B">
        <w:rPr>
          <w:rFonts w:ascii="Arial" w:hAnsi="Arial" w:cs="Arial"/>
          <w:b/>
          <w:sz w:val="24"/>
          <w:szCs w:val="24"/>
        </w:rPr>
        <w:t xml:space="preserve">Po usvajanju Proračuna Općine Gračac od strane Općinskog vijeća, upravna vijeća i druga </w:t>
      </w:r>
      <w:r w:rsidR="00597B28" w:rsidRPr="0027714B">
        <w:rPr>
          <w:rFonts w:ascii="Arial" w:hAnsi="Arial" w:cs="Arial"/>
          <w:b/>
          <w:sz w:val="24"/>
          <w:szCs w:val="24"/>
        </w:rPr>
        <w:t xml:space="preserve">upravljačka tijela proračunskih korisnika obvezna </w:t>
      </w:r>
      <w:r w:rsidRPr="0027714B">
        <w:rPr>
          <w:rFonts w:ascii="Arial" w:hAnsi="Arial" w:cs="Arial"/>
          <w:b/>
          <w:sz w:val="24"/>
          <w:szCs w:val="24"/>
        </w:rPr>
        <w:t>su</w:t>
      </w:r>
      <w:r w:rsidR="00597B28" w:rsidRPr="0027714B">
        <w:rPr>
          <w:rFonts w:ascii="Arial" w:hAnsi="Arial" w:cs="Arial"/>
          <w:b/>
          <w:sz w:val="24"/>
          <w:szCs w:val="24"/>
        </w:rPr>
        <w:t>, u skladu s Uputama,</w:t>
      </w:r>
      <w:r w:rsidRPr="0027714B">
        <w:rPr>
          <w:rFonts w:ascii="Arial" w:hAnsi="Arial" w:cs="Arial"/>
          <w:b/>
          <w:sz w:val="24"/>
          <w:szCs w:val="24"/>
        </w:rPr>
        <w:t xml:space="preserve"> usvojiti svoje financijske planove do </w:t>
      </w:r>
      <w:r w:rsidR="00597B28" w:rsidRPr="0027714B">
        <w:rPr>
          <w:rFonts w:ascii="Arial" w:hAnsi="Arial" w:cs="Arial"/>
          <w:b/>
          <w:sz w:val="24"/>
          <w:szCs w:val="24"/>
        </w:rPr>
        <w:t>31. prosinca 2017</w:t>
      </w:r>
      <w:r w:rsidRPr="0027714B">
        <w:rPr>
          <w:rFonts w:ascii="Arial" w:hAnsi="Arial" w:cs="Arial"/>
          <w:b/>
          <w:sz w:val="24"/>
          <w:szCs w:val="24"/>
        </w:rPr>
        <w:t>. godine</w:t>
      </w:r>
      <w:r w:rsidR="00597B28" w:rsidRPr="0027714B">
        <w:rPr>
          <w:rFonts w:ascii="Arial" w:hAnsi="Arial" w:cs="Arial"/>
          <w:b/>
          <w:sz w:val="24"/>
          <w:szCs w:val="24"/>
        </w:rPr>
        <w:t xml:space="preserve"> te ih, bez odgode, dostaviti Općini Gračac</w:t>
      </w:r>
      <w:r w:rsidRPr="0027714B">
        <w:rPr>
          <w:rFonts w:ascii="Arial" w:hAnsi="Arial" w:cs="Arial"/>
          <w:b/>
          <w:sz w:val="24"/>
          <w:szCs w:val="24"/>
        </w:rPr>
        <w:t>.</w:t>
      </w:r>
    </w:p>
    <w:p w:rsidR="00EA3CD7" w:rsidRPr="00287D10" w:rsidRDefault="00EA3CD7" w:rsidP="0027714B">
      <w:pPr>
        <w:pStyle w:val="NoSpacing"/>
        <w:jc w:val="both"/>
        <w:rPr>
          <w:rFonts w:ascii="Arial" w:hAnsi="Arial" w:cs="Arial"/>
          <w:sz w:val="24"/>
          <w:szCs w:val="24"/>
        </w:rPr>
      </w:pPr>
      <w:r w:rsidRPr="0027714B">
        <w:rPr>
          <w:rFonts w:ascii="Arial" w:hAnsi="Arial" w:cs="Arial"/>
          <w:sz w:val="24"/>
          <w:szCs w:val="24"/>
        </w:rPr>
        <w:t xml:space="preserve"> </w:t>
      </w:r>
    </w:p>
    <w:p w:rsidR="00FB3B06" w:rsidRPr="00287D10" w:rsidRDefault="00FB3B06" w:rsidP="000D17A8">
      <w:pPr>
        <w:keepNext/>
        <w:keepLines/>
        <w:spacing w:before="480" w:after="0" w:line="240" w:lineRule="auto"/>
        <w:ind w:left="720"/>
        <w:jc w:val="both"/>
        <w:outlineLvl w:val="0"/>
        <w:rPr>
          <w:rFonts w:ascii="Arial" w:eastAsia="Times New Roman" w:hAnsi="Arial" w:cs="Arial"/>
          <w:sz w:val="24"/>
          <w:szCs w:val="24"/>
          <w:lang w:eastAsia="hr-HR"/>
        </w:rPr>
      </w:pPr>
      <w:bookmarkStart w:id="9" w:name="_Toc491348204"/>
      <w:r w:rsidRPr="00287D10">
        <w:rPr>
          <w:rFonts w:ascii="Arial" w:eastAsiaTheme="majorEastAsia" w:hAnsi="Arial" w:cs="Arial"/>
          <w:b/>
          <w:bCs/>
          <w:sz w:val="24"/>
          <w:szCs w:val="24"/>
          <w:lang w:eastAsia="hr-HR"/>
        </w:rPr>
        <w:t>DOSTUPNOST MATERIJALA NA WEB STRANIC</w:t>
      </w:r>
      <w:bookmarkEnd w:id="9"/>
      <w:r w:rsidR="000D17A8">
        <w:rPr>
          <w:rFonts w:ascii="Arial" w:eastAsiaTheme="majorEastAsia" w:hAnsi="Arial" w:cs="Arial"/>
          <w:b/>
          <w:bCs/>
          <w:sz w:val="24"/>
          <w:szCs w:val="24"/>
          <w:lang w:eastAsia="hr-HR"/>
        </w:rPr>
        <w:t>AMA</w:t>
      </w:r>
    </w:p>
    <w:p w:rsidR="00FB3B06" w:rsidRPr="00287D10" w:rsidRDefault="00FB3B06" w:rsidP="006464A0">
      <w:pPr>
        <w:spacing w:after="0" w:line="240" w:lineRule="auto"/>
        <w:jc w:val="both"/>
        <w:rPr>
          <w:rFonts w:ascii="Arial" w:eastAsia="Times New Roman" w:hAnsi="Arial" w:cs="Arial"/>
          <w:sz w:val="24"/>
          <w:szCs w:val="24"/>
          <w:lang w:eastAsia="hr-HR"/>
        </w:rPr>
      </w:pPr>
    </w:p>
    <w:p w:rsidR="002B5256" w:rsidRDefault="00EA3CD7" w:rsidP="006464A0">
      <w:pPr>
        <w:spacing w:after="0" w:line="240" w:lineRule="auto"/>
        <w:jc w:val="both"/>
        <w:rPr>
          <w:rFonts w:ascii="Arial" w:eastAsia="Times New Roman" w:hAnsi="Arial" w:cs="Arial"/>
          <w:sz w:val="24"/>
          <w:szCs w:val="24"/>
          <w:lang w:eastAsia="hr-HR"/>
        </w:rPr>
      </w:pPr>
      <w:r w:rsidRPr="00287D10">
        <w:rPr>
          <w:rFonts w:ascii="Arial" w:eastAsia="Times New Roman" w:hAnsi="Arial" w:cs="Arial"/>
          <w:sz w:val="24"/>
          <w:szCs w:val="24"/>
          <w:lang w:eastAsia="hr-HR"/>
        </w:rPr>
        <w:t>Proračunski</w:t>
      </w:r>
      <w:r w:rsidR="00287D10" w:rsidRPr="00287D10">
        <w:rPr>
          <w:rFonts w:ascii="Arial" w:eastAsia="Times New Roman" w:hAnsi="Arial" w:cs="Arial"/>
          <w:sz w:val="24"/>
          <w:szCs w:val="24"/>
          <w:lang w:eastAsia="hr-HR"/>
        </w:rPr>
        <w:t xml:space="preserve"> korisnici mogu tekst ovih U</w:t>
      </w:r>
      <w:r w:rsidR="00FB3B06" w:rsidRPr="00287D10">
        <w:rPr>
          <w:rFonts w:ascii="Arial" w:eastAsia="Times New Roman" w:hAnsi="Arial" w:cs="Arial"/>
          <w:sz w:val="24"/>
          <w:szCs w:val="24"/>
          <w:lang w:eastAsia="hr-HR"/>
        </w:rPr>
        <w:t xml:space="preserve">puta </w:t>
      </w:r>
      <w:r w:rsidR="004E0E61" w:rsidRPr="00287D10">
        <w:rPr>
          <w:rFonts w:ascii="Arial" w:eastAsia="Times New Roman" w:hAnsi="Arial" w:cs="Arial"/>
          <w:sz w:val="24"/>
          <w:szCs w:val="24"/>
          <w:lang w:eastAsia="hr-HR"/>
        </w:rPr>
        <w:t>i prilog</w:t>
      </w:r>
      <w:bookmarkStart w:id="10" w:name="_GoBack"/>
      <w:bookmarkEnd w:id="10"/>
      <w:r w:rsidR="004E0E61" w:rsidRPr="00287D10">
        <w:rPr>
          <w:rFonts w:ascii="Arial" w:eastAsia="Times New Roman" w:hAnsi="Arial" w:cs="Arial"/>
          <w:sz w:val="24"/>
          <w:szCs w:val="24"/>
          <w:lang w:eastAsia="hr-HR"/>
        </w:rPr>
        <w:t xml:space="preserve"> </w:t>
      </w:r>
      <w:r w:rsidR="00597B28" w:rsidRPr="00287D10">
        <w:rPr>
          <w:rFonts w:ascii="Arial" w:eastAsia="Times New Roman" w:hAnsi="Arial" w:cs="Arial"/>
          <w:sz w:val="24"/>
          <w:szCs w:val="24"/>
          <w:lang w:eastAsia="hr-HR"/>
        </w:rPr>
        <w:t xml:space="preserve">„Obrazac prijedloga financijskog plana proračunskog korisnika proračuna Općine Gračac“ </w:t>
      </w:r>
      <w:r w:rsidR="00FB3B06" w:rsidRPr="00287D10">
        <w:rPr>
          <w:rFonts w:ascii="Arial" w:eastAsia="Times New Roman" w:hAnsi="Arial" w:cs="Arial"/>
          <w:sz w:val="24"/>
          <w:szCs w:val="24"/>
          <w:lang w:eastAsia="hr-HR"/>
        </w:rPr>
        <w:t xml:space="preserve">naći i koristiti s mrežne stranice </w:t>
      </w:r>
      <w:r w:rsidRPr="00287D10">
        <w:rPr>
          <w:rFonts w:ascii="Arial" w:eastAsia="Times New Roman" w:hAnsi="Arial" w:cs="Arial"/>
          <w:sz w:val="24"/>
          <w:szCs w:val="24"/>
          <w:lang w:eastAsia="hr-HR"/>
        </w:rPr>
        <w:t xml:space="preserve">Općine Gračac </w:t>
      </w:r>
      <w:hyperlink r:id="rId9" w:history="1">
        <w:r w:rsidRPr="00287D10">
          <w:rPr>
            <w:rStyle w:val="Hyperlink"/>
            <w:rFonts w:ascii="Arial" w:eastAsia="Times New Roman" w:hAnsi="Arial" w:cs="Arial"/>
            <w:sz w:val="24"/>
            <w:szCs w:val="24"/>
            <w:lang w:eastAsia="hr-HR"/>
          </w:rPr>
          <w:t>www.gracac.hr</w:t>
        </w:r>
      </w:hyperlink>
      <w:r w:rsidRPr="00287D10">
        <w:rPr>
          <w:rFonts w:ascii="Arial" w:eastAsia="Times New Roman" w:hAnsi="Arial" w:cs="Arial"/>
          <w:sz w:val="24"/>
          <w:szCs w:val="24"/>
          <w:lang w:eastAsia="hr-HR"/>
        </w:rPr>
        <w:t xml:space="preserve"> pod „Proračuni i financijska izvješća“. </w:t>
      </w:r>
    </w:p>
    <w:p w:rsidR="000D17A8" w:rsidRPr="000D17A8" w:rsidRDefault="000D17A8" w:rsidP="000D17A8">
      <w:pPr>
        <w:pStyle w:val="NoSpacing"/>
        <w:jc w:val="both"/>
        <w:rPr>
          <w:rFonts w:ascii="Arial" w:hAnsi="Arial" w:cs="Arial"/>
          <w:sz w:val="24"/>
          <w:szCs w:val="24"/>
        </w:rPr>
      </w:pPr>
      <w:r w:rsidRPr="000D17A8">
        <w:rPr>
          <w:rFonts w:ascii="Arial" w:hAnsi="Arial" w:cs="Arial"/>
          <w:sz w:val="24"/>
          <w:szCs w:val="24"/>
        </w:rPr>
        <w:t xml:space="preserve">Na internet stranici Ministarstva financija </w:t>
      </w:r>
      <w:hyperlink r:id="rId10" w:history="1">
        <w:r w:rsidRPr="00344D79">
          <w:rPr>
            <w:rStyle w:val="Hyperlink"/>
            <w:rFonts w:ascii="Arial" w:hAnsi="Arial" w:cs="Arial"/>
            <w:sz w:val="24"/>
            <w:szCs w:val="24"/>
          </w:rPr>
          <w:t>www.mfin.hr</w:t>
        </w:r>
      </w:hyperlink>
      <w:r>
        <w:rPr>
          <w:rFonts w:ascii="Arial" w:hAnsi="Arial" w:cs="Arial"/>
          <w:sz w:val="24"/>
          <w:szCs w:val="24"/>
        </w:rPr>
        <w:t xml:space="preserve"> </w:t>
      </w:r>
      <w:r w:rsidRPr="000D17A8">
        <w:rPr>
          <w:rFonts w:ascii="Arial" w:hAnsi="Arial" w:cs="Arial"/>
          <w:sz w:val="24"/>
          <w:szCs w:val="24"/>
        </w:rPr>
        <w:t>(Proračun/Lokalni proračun) nalaze se Upute za izradu proračuna jedinica lokalne i područne (regionalne) samouprave za razdoblje 2018. - 2020.</w:t>
      </w:r>
      <w:r w:rsidR="00A30664">
        <w:rPr>
          <w:rFonts w:ascii="Arial" w:hAnsi="Arial" w:cs="Arial"/>
          <w:sz w:val="24"/>
          <w:szCs w:val="24"/>
        </w:rPr>
        <w:t xml:space="preserve"> godine</w:t>
      </w:r>
      <w:r w:rsidRPr="000D17A8">
        <w:rPr>
          <w:rFonts w:ascii="Arial" w:hAnsi="Arial" w:cs="Arial"/>
          <w:sz w:val="24"/>
          <w:szCs w:val="24"/>
        </w:rPr>
        <w:t>, Model prijedloga financijskog plana proračunskog korisnika.</w:t>
      </w:r>
    </w:p>
    <w:p w:rsidR="000D17A8" w:rsidRDefault="000D17A8" w:rsidP="006464A0">
      <w:pPr>
        <w:spacing w:after="0" w:line="240" w:lineRule="auto"/>
        <w:jc w:val="both"/>
        <w:rPr>
          <w:rFonts w:ascii="Arial" w:eastAsia="Times New Roman" w:hAnsi="Arial" w:cs="Arial"/>
          <w:sz w:val="24"/>
          <w:szCs w:val="24"/>
          <w:lang w:eastAsia="hr-HR"/>
        </w:rPr>
      </w:pPr>
    </w:p>
    <w:p w:rsidR="0027714B" w:rsidRDefault="0027714B" w:rsidP="006464A0">
      <w:pPr>
        <w:spacing w:after="0" w:line="240" w:lineRule="auto"/>
        <w:jc w:val="both"/>
        <w:rPr>
          <w:rFonts w:ascii="Arial" w:eastAsia="Times New Roman" w:hAnsi="Arial" w:cs="Arial"/>
          <w:sz w:val="24"/>
          <w:szCs w:val="24"/>
          <w:lang w:eastAsia="hr-HR"/>
        </w:rPr>
      </w:pPr>
    </w:p>
    <w:p w:rsidR="0027714B" w:rsidRPr="0034519E" w:rsidRDefault="0027714B" w:rsidP="0027714B">
      <w:pPr>
        <w:pStyle w:val="NoSpacing"/>
        <w:rPr>
          <w:rFonts w:ascii="Arial" w:hAnsi="Arial" w:cs="Arial"/>
          <w:b/>
          <w:sz w:val="24"/>
          <w:szCs w:val="24"/>
        </w:rPr>
      </w:pPr>
      <w:r w:rsidRPr="0034519E">
        <w:rPr>
          <w:rFonts w:ascii="Arial" w:hAnsi="Arial" w:cs="Arial"/>
          <w:sz w:val="24"/>
          <w:szCs w:val="24"/>
        </w:rPr>
        <w:t xml:space="preserve">                                                                                       </w:t>
      </w:r>
      <w:r w:rsidRPr="0034519E">
        <w:rPr>
          <w:rFonts w:ascii="Arial" w:hAnsi="Arial" w:cs="Arial"/>
          <w:b/>
          <w:sz w:val="24"/>
          <w:szCs w:val="24"/>
        </w:rPr>
        <w:t>PROČELNICA:</w:t>
      </w:r>
    </w:p>
    <w:p w:rsidR="0027714B" w:rsidRPr="0034519E" w:rsidRDefault="0027714B" w:rsidP="0027714B">
      <w:pPr>
        <w:pStyle w:val="NoSpacing"/>
        <w:rPr>
          <w:rFonts w:ascii="Arial" w:hAnsi="Arial" w:cs="Arial"/>
          <w:b/>
          <w:sz w:val="24"/>
          <w:szCs w:val="24"/>
        </w:rPr>
      </w:pPr>
      <w:r w:rsidRPr="0034519E">
        <w:rPr>
          <w:rFonts w:ascii="Arial" w:hAnsi="Arial" w:cs="Arial"/>
          <w:b/>
          <w:sz w:val="24"/>
          <w:szCs w:val="24"/>
        </w:rPr>
        <w:t xml:space="preserve">                                                                                 Bojana Fumić, mag. iur.</w:t>
      </w:r>
    </w:p>
    <w:p w:rsidR="0027714B" w:rsidRDefault="0027714B" w:rsidP="006464A0">
      <w:pPr>
        <w:spacing w:after="0" w:line="240" w:lineRule="auto"/>
        <w:jc w:val="both"/>
        <w:rPr>
          <w:rFonts w:ascii="Arial" w:eastAsia="Times New Roman" w:hAnsi="Arial" w:cs="Arial"/>
          <w:sz w:val="24"/>
          <w:szCs w:val="24"/>
          <w:lang w:eastAsia="hr-HR"/>
        </w:rPr>
      </w:pPr>
    </w:p>
    <w:p w:rsidR="000D17A8" w:rsidRDefault="000D17A8" w:rsidP="006464A0">
      <w:pPr>
        <w:spacing w:after="0" w:line="240" w:lineRule="auto"/>
        <w:jc w:val="both"/>
        <w:rPr>
          <w:rFonts w:ascii="Arial" w:eastAsia="Times New Roman" w:hAnsi="Arial" w:cs="Arial"/>
          <w:sz w:val="24"/>
          <w:szCs w:val="24"/>
          <w:lang w:eastAsia="hr-HR"/>
        </w:rPr>
      </w:pPr>
    </w:p>
    <w:p w:rsidR="000D17A8" w:rsidRDefault="000D17A8" w:rsidP="006464A0">
      <w:pPr>
        <w:spacing w:after="0" w:line="240" w:lineRule="auto"/>
        <w:jc w:val="both"/>
        <w:rPr>
          <w:rFonts w:ascii="Arial" w:eastAsia="Times New Roman" w:hAnsi="Arial" w:cs="Arial"/>
          <w:sz w:val="24"/>
          <w:szCs w:val="24"/>
          <w:lang w:eastAsia="hr-HR"/>
        </w:rPr>
      </w:pPr>
    </w:p>
    <w:p w:rsidR="00403D5F" w:rsidRDefault="00403D5F" w:rsidP="006464A0">
      <w:pPr>
        <w:spacing w:after="0" w:line="240" w:lineRule="auto"/>
        <w:jc w:val="both"/>
        <w:rPr>
          <w:rFonts w:ascii="Arial" w:eastAsia="Times New Roman" w:hAnsi="Arial" w:cs="Arial"/>
          <w:sz w:val="24"/>
          <w:szCs w:val="24"/>
          <w:lang w:eastAsia="hr-HR"/>
        </w:rPr>
      </w:pPr>
    </w:p>
    <w:p w:rsidR="00403D5F" w:rsidRPr="00426CE8" w:rsidRDefault="00403D5F" w:rsidP="006464A0">
      <w:pPr>
        <w:spacing w:after="0" w:line="240" w:lineRule="auto"/>
        <w:jc w:val="both"/>
        <w:rPr>
          <w:rFonts w:ascii="Arial" w:eastAsia="Times New Roman" w:hAnsi="Arial" w:cs="Arial"/>
          <w:sz w:val="24"/>
          <w:szCs w:val="24"/>
          <w:u w:val="single"/>
          <w:lang w:eastAsia="hr-HR"/>
        </w:rPr>
      </w:pPr>
      <w:r w:rsidRPr="00426CE8">
        <w:rPr>
          <w:rFonts w:ascii="Arial" w:eastAsia="Times New Roman" w:hAnsi="Arial" w:cs="Arial"/>
          <w:sz w:val="24"/>
          <w:szCs w:val="24"/>
          <w:u w:val="single"/>
          <w:lang w:eastAsia="hr-HR"/>
        </w:rPr>
        <w:t>Dostaviti:</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1. Dječji vrtić „Baltazar“ Gračac</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2. Vatrogasna postrojba Gračac</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3. Knjižnica i čitaonica Gračac</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4. Mjesni odbor Srb</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5. Vijeće srpske nacionalne manjine Općine Gračac</w:t>
      </w:r>
    </w:p>
    <w:p w:rsidR="00403D5F"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6. Pismohrana, ovdje.</w:t>
      </w:r>
    </w:p>
    <w:p w:rsidR="00403D5F" w:rsidRDefault="00403D5F" w:rsidP="006464A0">
      <w:pPr>
        <w:spacing w:after="0" w:line="240" w:lineRule="auto"/>
        <w:jc w:val="both"/>
        <w:rPr>
          <w:rFonts w:ascii="Arial" w:eastAsia="Times New Roman" w:hAnsi="Arial" w:cs="Arial"/>
          <w:sz w:val="24"/>
          <w:szCs w:val="24"/>
          <w:lang w:eastAsia="hr-HR"/>
        </w:rPr>
      </w:pPr>
    </w:p>
    <w:p w:rsidR="00426CE8" w:rsidRDefault="00426CE8" w:rsidP="006464A0">
      <w:pPr>
        <w:spacing w:after="0" w:line="240" w:lineRule="auto"/>
        <w:jc w:val="both"/>
        <w:rPr>
          <w:rFonts w:ascii="Arial" w:eastAsia="Times New Roman" w:hAnsi="Arial" w:cs="Arial"/>
          <w:sz w:val="24"/>
          <w:szCs w:val="24"/>
          <w:lang w:eastAsia="hr-HR"/>
        </w:rPr>
      </w:pPr>
    </w:p>
    <w:p w:rsidR="00403D5F" w:rsidRPr="00426CE8" w:rsidRDefault="00403D5F" w:rsidP="006464A0">
      <w:pPr>
        <w:spacing w:after="0" w:line="240" w:lineRule="auto"/>
        <w:jc w:val="both"/>
        <w:rPr>
          <w:rFonts w:ascii="Arial" w:eastAsia="Times New Roman" w:hAnsi="Arial" w:cs="Arial"/>
          <w:sz w:val="24"/>
          <w:szCs w:val="24"/>
          <w:u w:val="single"/>
          <w:lang w:eastAsia="hr-HR"/>
        </w:rPr>
      </w:pPr>
      <w:r w:rsidRPr="00426CE8">
        <w:rPr>
          <w:rFonts w:ascii="Arial" w:eastAsia="Times New Roman" w:hAnsi="Arial" w:cs="Arial"/>
          <w:sz w:val="24"/>
          <w:szCs w:val="24"/>
          <w:u w:val="single"/>
          <w:lang w:eastAsia="hr-HR"/>
        </w:rPr>
        <w:t>Na znanje:</w:t>
      </w:r>
    </w:p>
    <w:p w:rsidR="00403D5F" w:rsidRPr="00287D10" w:rsidRDefault="00403D5F" w:rsidP="006464A0">
      <w:pPr>
        <w:spacing w:after="0"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1.  Općinskoj načelnici </w:t>
      </w:r>
    </w:p>
    <w:sectPr w:rsidR="00403D5F" w:rsidRPr="00287D10" w:rsidSect="00D86AEF">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4DE" w:rsidRDefault="003414DE">
      <w:pPr>
        <w:spacing w:after="0" w:line="240" w:lineRule="auto"/>
      </w:pPr>
      <w:r>
        <w:separator/>
      </w:r>
    </w:p>
  </w:endnote>
  <w:endnote w:type="continuationSeparator" w:id="0">
    <w:p w:rsidR="003414DE" w:rsidRDefault="00341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603541"/>
      <w:docPartObj>
        <w:docPartGallery w:val="Page Numbers (Bottom of Page)"/>
        <w:docPartUnique/>
      </w:docPartObj>
    </w:sdtPr>
    <w:sdtContent>
      <w:p w:rsidR="00597B28" w:rsidRDefault="00597B28">
        <w:pPr>
          <w:pStyle w:val="Footer"/>
          <w:jc w:val="center"/>
        </w:pPr>
        <w:fldSimple w:instr="PAGE   \* MERGEFORMAT">
          <w:r w:rsidR="00EB35E2">
            <w:rPr>
              <w:noProof/>
            </w:rPr>
            <w:t>5</w:t>
          </w:r>
        </w:fldSimple>
      </w:p>
    </w:sdtContent>
  </w:sdt>
  <w:p w:rsidR="00597B28" w:rsidRDefault="00597B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4DE" w:rsidRDefault="003414DE">
      <w:pPr>
        <w:spacing w:after="0" w:line="240" w:lineRule="auto"/>
      </w:pPr>
      <w:r>
        <w:separator/>
      </w:r>
    </w:p>
  </w:footnote>
  <w:footnote w:type="continuationSeparator" w:id="0">
    <w:p w:rsidR="003414DE" w:rsidRDefault="00341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720"/>
    <w:multiLevelType w:val="hybridMultilevel"/>
    <w:tmpl w:val="7DCC7392"/>
    <w:lvl w:ilvl="0" w:tplc="58B8FBD8">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D690A"/>
    <w:multiLevelType w:val="hybridMultilevel"/>
    <w:tmpl w:val="CE8EAE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8BF314A"/>
    <w:multiLevelType w:val="hybridMultilevel"/>
    <w:tmpl w:val="01429A16"/>
    <w:lvl w:ilvl="0" w:tplc="DB003D7A">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11B17311"/>
    <w:multiLevelType w:val="multilevel"/>
    <w:tmpl w:val="FD205E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2B57036"/>
    <w:multiLevelType w:val="hybridMultilevel"/>
    <w:tmpl w:val="450AED50"/>
    <w:lvl w:ilvl="0" w:tplc="73864868">
      <w:start w:val="1"/>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1AEF7B27"/>
    <w:multiLevelType w:val="hybridMultilevel"/>
    <w:tmpl w:val="B0A66D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E97316"/>
    <w:multiLevelType w:val="hybridMultilevel"/>
    <w:tmpl w:val="CB287BAE"/>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7">
    <w:nsid w:val="25DF1E91"/>
    <w:multiLevelType w:val="hybridMultilevel"/>
    <w:tmpl w:val="8812B4D6"/>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nsid w:val="332E1A49"/>
    <w:multiLevelType w:val="hybridMultilevel"/>
    <w:tmpl w:val="B046FE70"/>
    <w:lvl w:ilvl="0" w:tplc="B79C4CA4">
      <w:start w:val="7"/>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3BE62D32"/>
    <w:multiLevelType w:val="hybridMultilevel"/>
    <w:tmpl w:val="093EE4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F5E3A29"/>
    <w:multiLevelType w:val="hybridMultilevel"/>
    <w:tmpl w:val="FABC8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8D96FD9"/>
    <w:multiLevelType w:val="hybridMultilevel"/>
    <w:tmpl w:val="80B8B874"/>
    <w:lvl w:ilvl="0" w:tplc="08090001">
      <w:numFmt w:val="bullet"/>
      <w:lvlText w:val="-"/>
      <w:lvlJc w:val="left"/>
      <w:pPr>
        <w:ind w:left="644" w:hanging="360"/>
      </w:pPr>
      <w:rPr>
        <w:rFonts w:ascii="Arial" w:eastAsiaTheme="minorHAnsi" w:hAnsi="Arial" w:cs="Arial" w:hint="default"/>
        <w:i w:val="0"/>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nsid w:val="49297C10"/>
    <w:multiLevelType w:val="hybridMultilevel"/>
    <w:tmpl w:val="D0527E14"/>
    <w:lvl w:ilvl="0" w:tplc="54CA6250">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8BB3CAD"/>
    <w:multiLevelType w:val="hybridMultilevel"/>
    <w:tmpl w:val="13D67C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B35536C"/>
    <w:multiLevelType w:val="hybridMultilevel"/>
    <w:tmpl w:val="2A56AF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nsid w:val="61DE5F70"/>
    <w:multiLevelType w:val="hybridMultilevel"/>
    <w:tmpl w:val="E0D26B86"/>
    <w:lvl w:ilvl="0" w:tplc="C9D6C4E8">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140"/>
        </w:tabs>
        <w:ind w:left="1140" w:hanging="360"/>
      </w:pPr>
    </w:lvl>
    <w:lvl w:ilvl="2" w:tplc="041A001B" w:tentative="1">
      <w:start w:val="1"/>
      <w:numFmt w:val="lowerRoman"/>
      <w:lvlText w:val="%3."/>
      <w:lvlJc w:val="right"/>
      <w:pPr>
        <w:tabs>
          <w:tab w:val="num" w:pos="1860"/>
        </w:tabs>
        <w:ind w:left="1860" w:hanging="180"/>
      </w:pPr>
    </w:lvl>
    <w:lvl w:ilvl="3" w:tplc="041A000F" w:tentative="1">
      <w:start w:val="1"/>
      <w:numFmt w:val="decimal"/>
      <w:lvlText w:val="%4."/>
      <w:lvlJc w:val="left"/>
      <w:pPr>
        <w:tabs>
          <w:tab w:val="num" w:pos="2580"/>
        </w:tabs>
        <w:ind w:left="2580" w:hanging="360"/>
      </w:pPr>
    </w:lvl>
    <w:lvl w:ilvl="4" w:tplc="041A0019" w:tentative="1">
      <w:start w:val="1"/>
      <w:numFmt w:val="lowerLetter"/>
      <w:lvlText w:val="%5."/>
      <w:lvlJc w:val="left"/>
      <w:pPr>
        <w:tabs>
          <w:tab w:val="num" w:pos="3300"/>
        </w:tabs>
        <w:ind w:left="3300" w:hanging="360"/>
      </w:pPr>
    </w:lvl>
    <w:lvl w:ilvl="5" w:tplc="041A001B" w:tentative="1">
      <w:start w:val="1"/>
      <w:numFmt w:val="lowerRoman"/>
      <w:lvlText w:val="%6."/>
      <w:lvlJc w:val="right"/>
      <w:pPr>
        <w:tabs>
          <w:tab w:val="num" w:pos="4020"/>
        </w:tabs>
        <w:ind w:left="4020" w:hanging="180"/>
      </w:pPr>
    </w:lvl>
    <w:lvl w:ilvl="6" w:tplc="041A000F" w:tentative="1">
      <w:start w:val="1"/>
      <w:numFmt w:val="decimal"/>
      <w:lvlText w:val="%7."/>
      <w:lvlJc w:val="left"/>
      <w:pPr>
        <w:tabs>
          <w:tab w:val="num" w:pos="4740"/>
        </w:tabs>
        <w:ind w:left="4740" w:hanging="360"/>
      </w:pPr>
    </w:lvl>
    <w:lvl w:ilvl="7" w:tplc="041A0019" w:tentative="1">
      <w:start w:val="1"/>
      <w:numFmt w:val="lowerLetter"/>
      <w:lvlText w:val="%8."/>
      <w:lvlJc w:val="left"/>
      <w:pPr>
        <w:tabs>
          <w:tab w:val="num" w:pos="5460"/>
        </w:tabs>
        <w:ind w:left="5460" w:hanging="360"/>
      </w:pPr>
    </w:lvl>
    <w:lvl w:ilvl="8" w:tplc="041A001B" w:tentative="1">
      <w:start w:val="1"/>
      <w:numFmt w:val="lowerRoman"/>
      <w:lvlText w:val="%9."/>
      <w:lvlJc w:val="right"/>
      <w:pPr>
        <w:tabs>
          <w:tab w:val="num" w:pos="6180"/>
        </w:tabs>
        <w:ind w:left="6180" w:hanging="180"/>
      </w:pPr>
    </w:lvl>
  </w:abstractNum>
  <w:abstractNum w:abstractNumId="16">
    <w:nsid w:val="6465515E"/>
    <w:multiLevelType w:val="multilevel"/>
    <w:tmpl w:val="83EC6D5C"/>
    <w:lvl w:ilvl="0">
      <w:start w:val="3"/>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65BA5819"/>
    <w:multiLevelType w:val="multilevel"/>
    <w:tmpl w:val="D62853A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680F61FB"/>
    <w:multiLevelType w:val="hybridMultilevel"/>
    <w:tmpl w:val="86B8A0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7DE45D7"/>
    <w:multiLevelType w:val="hybridMultilevel"/>
    <w:tmpl w:val="260E38F6"/>
    <w:lvl w:ilvl="0" w:tplc="16A62FB6">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79335ADE"/>
    <w:multiLevelType w:val="multilevel"/>
    <w:tmpl w:val="72548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7FEB3C87"/>
    <w:multiLevelType w:val="hybridMultilevel"/>
    <w:tmpl w:val="84F059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7FEF4E8F"/>
    <w:multiLevelType w:val="hybridMultilevel"/>
    <w:tmpl w:val="F8B26F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
  </w:num>
  <w:num w:numId="4">
    <w:abstractNumId w:val="0"/>
  </w:num>
  <w:num w:numId="5">
    <w:abstractNumId w:val="13"/>
  </w:num>
  <w:num w:numId="6">
    <w:abstractNumId w:val="10"/>
  </w:num>
  <w:num w:numId="7">
    <w:abstractNumId w:val="2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9"/>
  </w:num>
  <w:num w:numId="12">
    <w:abstractNumId w:val="7"/>
  </w:num>
  <w:num w:numId="13">
    <w:abstractNumId w:val="19"/>
  </w:num>
  <w:num w:numId="14">
    <w:abstractNumId w:val="12"/>
  </w:num>
  <w:num w:numId="15">
    <w:abstractNumId w:val="1"/>
  </w:num>
  <w:num w:numId="16">
    <w:abstractNumId w:val="14"/>
  </w:num>
  <w:num w:numId="17">
    <w:abstractNumId w:val="20"/>
  </w:num>
  <w:num w:numId="18">
    <w:abstractNumId w:val="21"/>
  </w:num>
  <w:num w:numId="19">
    <w:abstractNumId w:val="5"/>
  </w:num>
  <w:num w:numId="20">
    <w:abstractNumId w:val="16"/>
  </w:num>
  <w:num w:numId="21">
    <w:abstractNumId w:val="11"/>
  </w:num>
  <w:num w:numId="22">
    <w:abstractNumId w:val="4"/>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FB3B06"/>
    <w:rsid w:val="000077A1"/>
    <w:rsid w:val="00024B42"/>
    <w:rsid w:val="0003188E"/>
    <w:rsid w:val="00035DBB"/>
    <w:rsid w:val="0004713A"/>
    <w:rsid w:val="000536DE"/>
    <w:rsid w:val="00071C86"/>
    <w:rsid w:val="000800C2"/>
    <w:rsid w:val="00080D7E"/>
    <w:rsid w:val="00082FE8"/>
    <w:rsid w:val="00086F1F"/>
    <w:rsid w:val="00091FE8"/>
    <w:rsid w:val="00093FC8"/>
    <w:rsid w:val="00097CCF"/>
    <w:rsid w:val="000A572C"/>
    <w:rsid w:val="000B5E7D"/>
    <w:rsid w:val="000C1624"/>
    <w:rsid w:val="000C4693"/>
    <w:rsid w:val="000C4AC2"/>
    <w:rsid w:val="000D1544"/>
    <w:rsid w:val="000D17A8"/>
    <w:rsid w:val="000E2179"/>
    <w:rsid w:val="000E6DCB"/>
    <w:rsid w:val="00101ED9"/>
    <w:rsid w:val="00105CB2"/>
    <w:rsid w:val="00117519"/>
    <w:rsid w:val="00121433"/>
    <w:rsid w:val="00131051"/>
    <w:rsid w:val="001344C2"/>
    <w:rsid w:val="00141A75"/>
    <w:rsid w:val="001460A7"/>
    <w:rsid w:val="001575B9"/>
    <w:rsid w:val="001618C8"/>
    <w:rsid w:val="00163A98"/>
    <w:rsid w:val="00165460"/>
    <w:rsid w:val="00166E35"/>
    <w:rsid w:val="0017391E"/>
    <w:rsid w:val="00182A01"/>
    <w:rsid w:val="00190B3A"/>
    <w:rsid w:val="001955E3"/>
    <w:rsid w:val="00196B1E"/>
    <w:rsid w:val="001A16C5"/>
    <w:rsid w:val="001B186B"/>
    <w:rsid w:val="001C1FF0"/>
    <w:rsid w:val="001C3E0E"/>
    <w:rsid w:val="001E1705"/>
    <w:rsid w:val="001F74B6"/>
    <w:rsid w:val="001F74D1"/>
    <w:rsid w:val="00211E12"/>
    <w:rsid w:val="00213048"/>
    <w:rsid w:val="0023051A"/>
    <w:rsid w:val="00240222"/>
    <w:rsid w:val="002528C2"/>
    <w:rsid w:val="00256202"/>
    <w:rsid w:val="00271469"/>
    <w:rsid w:val="002714D4"/>
    <w:rsid w:val="002765F5"/>
    <w:rsid w:val="0027714B"/>
    <w:rsid w:val="00277C2F"/>
    <w:rsid w:val="00287D10"/>
    <w:rsid w:val="0029532D"/>
    <w:rsid w:val="00297560"/>
    <w:rsid w:val="00297B34"/>
    <w:rsid w:val="002A7D78"/>
    <w:rsid w:val="002B0275"/>
    <w:rsid w:val="002B3B09"/>
    <w:rsid w:val="002B5256"/>
    <w:rsid w:val="002B6AD1"/>
    <w:rsid w:val="002C08F0"/>
    <w:rsid w:val="002C5852"/>
    <w:rsid w:val="002D470A"/>
    <w:rsid w:val="002D58CD"/>
    <w:rsid w:val="002E300F"/>
    <w:rsid w:val="002F7720"/>
    <w:rsid w:val="00300CE0"/>
    <w:rsid w:val="00303A63"/>
    <w:rsid w:val="00306289"/>
    <w:rsid w:val="00310BF6"/>
    <w:rsid w:val="003125FE"/>
    <w:rsid w:val="00317607"/>
    <w:rsid w:val="003221E5"/>
    <w:rsid w:val="003333F5"/>
    <w:rsid w:val="003414DE"/>
    <w:rsid w:val="003546D7"/>
    <w:rsid w:val="003641FF"/>
    <w:rsid w:val="00371AF8"/>
    <w:rsid w:val="00374439"/>
    <w:rsid w:val="00375515"/>
    <w:rsid w:val="00381B9B"/>
    <w:rsid w:val="00382544"/>
    <w:rsid w:val="0038381B"/>
    <w:rsid w:val="00391060"/>
    <w:rsid w:val="003A7BF0"/>
    <w:rsid w:val="003A7C8F"/>
    <w:rsid w:val="003C5BB2"/>
    <w:rsid w:val="003D60FF"/>
    <w:rsid w:val="003E6DA8"/>
    <w:rsid w:val="003F2027"/>
    <w:rsid w:val="00403D5F"/>
    <w:rsid w:val="00406BA4"/>
    <w:rsid w:val="00413789"/>
    <w:rsid w:val="00416EBC"/>
    <w:rsid w:val="00424B09"/>
    <w:rsid w:val="00424DEA"/>
    <w:rsid w:val="00425358"/>
    <w:rsid w:val="00426590"/>
    <w:rsid w:val="00426CE8"/>
    <w:rsid w:val="00430517"/>
    <w:rsid w:val="00432355"/>
    <w:rsid w:val="00435DC2"/>
    <w:rsid w:val="0044773E"/>
    <w:rsid w:val="00465367"/>
    <w:rsid w:val="00483C2C"/>
    <w:rsid w:val="004A7C46"/>
    <w:rsid w:val="004C19E3"/>
    <w:rsid w:val="004E0E61"/>
    <w:rsid w:val="004F6576"/>
    <w:rsid w:val="004F6A52"/>
    <w:rsid w:val="004F7C57"/>
    <w:rsid w:val="00511ADD"/>
    <w:rsid w:val="0052766F"/>
    <w:rsid w:val="00527A14"/>
    <w:rsid w:val="005426BC"/>
    <w:rsid w:val="00561FB2"/>
    <w:rsid w:val="00566FAC"/>
    <w:rsid w:val="005807AA"/>
    <w:rsid w:val="00594AC8"/>
    <w:rsid w:val="00597B28"/>
    <w:rsid w:val="005A3DAA"/>
    <w:rsid w:val="005C427D"/>
    <w:rsid w:val="005E0045"/>
    <w:rsid w:val="005F12D0"/>
    <w:rsid w:val="005F2ECE"/>
    <w:rsid w:val="005F2EEF"/>
    <w:rsid w:val="00612E81"/>
    <w:rsid w:val="00623B53"/>
    <w:rsid w:val="00626361"/>
    <w:rsid w:val="00643ED4"/>
    <w:rsid w:val="006464A0"/>
    <w:rsid w:val="0065154F"/>
    <w:rsid w:val="006818EB"/>
    <w:rsid w:val="00682602"/>
    <w:rsid w:val="0068679B"/>
    <w:rsid w:val="006A5585"/>
    <w:rsid w:val="006A7C4C"/>
    <w:rsid w:val="006A7C68"/>
    <w:rsid w:val="006B7BBD"/>
    <w:rsid w:val="006C1C70"/>
    <w:rsid w:val="006C38C6"/>
    <w:rsid w:val="006C4DF3"/>
    <w:rsid w:val="006C4FEA"/>
    <w:rsid w:val="006D68CD"/>
    <w:rsid w:val="006E15CF"/>
    <w:rsid w:val="006E746D"/>
    <w:rsid w:val="006F63A8"/>
    <w:rsid w:val="0074496A"/>
    <w:rsid w:val="00754196"/>
    <w:rsid w:val="0075422A"/>
    <w:rsid w:val="00755C3D"/>
    <w:rsid w:val="00773D3C"/>
    <w:rsid w:val="00776BE6"/>
    <w:rsid w:val="00796BA5"/>
    <w:rsid w:val="007A7563"/>
    <w:rsid w:val="007D287B"/>
    <w:rsid w:val="007D5665"/>
    <w:rsid w:val="007E1B10"/>
    <w:rsid w:val="007F3FBA"/>
    <w:rsid w:val="00806C4D"/>
    <w:rsid w:val="00812457"/>
    <w:rsid w:val="00812940"/>
    <w:rsid w:val="00814A1B"/>
    <w:rsid w:val="008170B0"/>
    <w:rsid w:val="00821B91"/>
    <w:rsid w:val="00835ED7"/>
    <w:rsid w:val="00844010"/>
    <w:rsid w:val="00853114"/>
    <w:rsid w:val="008565CA"/>
    <w:rsid w:val="00864C98"/>
    <w:rsid w:val="0086735D"/>
    <w:rsid w:val="0088746B"/>
    <w:rsid w:val="008907C7"/>
    <w:rsid w:val="008A2D38"/>
    <w:rsid w:val="008A66D4"/>
    <w:rsid w:val="008B65E2"/>
    <w:rsid w:val="008C0ECC"/>
    <w:rsid w:val="008C1412"/>
    <w:rsid w:val="008D5E8A"/>
    <w:rsid w:val="008D6AFF"/>
    <w:rsid w:val="008E7A6E"/>
    <w:rsid w:val="008F08A6"/>
    <w:rsid w:val="008F1A15"/>
    <w:rsid w:val="008F3C4A"/>
    <w:rsid w:val="00902FB3"/>
    <w:rsid w:val="009049CE"/>
    <w:rsid w:val="00907E52"/>
    <w:rsid w:val="009155EE"/>
    <w:rsid w:val="00917956"/>
    <w:rsid w:val="00922A1F"/>
    <w:rsid w:val="00926999"/>
    <w:rsid w:val="00941B9D"/>
    <w:rsid w:val="00942459"/>
    <w:rsid w:val="009452E8"/>
    <w:rsid w:val="0094728B"/>
    <w:rsid w:val="00947FD4"/>
    <w:rsid w:val="00961AD9"/>
    <w:rsid w:val="00966569"/>
    <w:rsid w:val="009764EC"/>
    <w:rsid w:val="009809CA"/>
    <w:rsid w:val="00982A7F"/>
    <w:rsid w:val="00994086"/>
    <w:rsid w:val="009A4C7B"/>
    <w:rsid w:val="009B1CF9"/>
    <w:rsid w:val="009B6602"/>
    <w:rsid w:val="009C3562"/>
    <w:rsid w:val="009C69FB"/>
    <w:rsid w:val="009E2A46"/>
    <w:rsid w:val="009F321D"/>
    <w:rsid w:val="009F48A3"/>
    <w:rsid w:val="00A113FC"/>
    <w:rsid w:val="00A11CDF"/>
    <w:rsid w:val="00A24568"/>
    <w:rsid w:val="00A279D0"/>
    <w:rsid w:val="00A30664"/>
    <w:rsid w:val="00A36121"/>
    <w:rsid w:val="00A534F1"/>
    <w:rsid w:val="00A5470E"/>
    <w:rsid w:val="00A549EF"/>
    <w:rsid w:val="00A560EC"/>
    <w:rsid w:val="00A64370"/>
    <w:rsid w:val="00A85533"/>
    <w:rsid w:val="00A950EB"/>
    <w:rsid w:val="00A96D1E"/>
    <w:rsid w:val="00A974BD"/>
    <w:rsid w:val="00AB4259"/>
    <w:rsid w:val="00AC0A66"/>
    <w:rsid w:val="00AC12D9"/>
    <w:rsid w:val="00AC16C3"/>
    <w:rsid w:val="00AC5975"/>
    <w:rsid w:val="00AD013D"/>
    <w:rsid w:val="00AD4EA8"/>
    <w:rsid w:val="00B05B3F"/>
    <w:rsid w:val="00B145E7"/>
    <w:rsid w:val="00B21D3B"/>
    <w:rsid w:val="00B224B1"/>
    <w:rsid w:val="00B2522A"/>
    <w:rsid w:val="00B35A2E"/>
    <w:rsid w:val="00B40029"/>
    <w:rsid w:val="00B429DF"/>
    <w:rsid w:val="00B42F83"/>
    <w:rsid w:val="00B4322D"/>
    <w:rsid w:val="00B61C5B"/>
    <w:rsid w:val="00B84C44"/>
    <w:rsid w:val="00B87376"/>
    <w:rsid w:val="00B944C0"/>
    <w:rsid w:val="00BA66B1"/>
    <w:rsid w:val="00BB1881"/>
    <w:rsid w:val="00BC3229"/>
    <w:rsid w:val="00BC6CD0"/>
    <w:rsid w:val="00BD1E9F"/>
    <w:rsid w:val="00BE6381"/>
    <w:rsid w:val="00BF191D"/>
    <w:rsid w:val="00BF72C6"/>
    <w:rsid w:val="00BF7718"/>
    <w:rsid w:val="00C018EC"/>
    <w:rsid w:val="00C02B0A"/>
    <w:rsid w:val="00C11F27"/>
    <w:rsid w:val="00C16A35"/>
    <w:rsid w:val="00C2198F"/>
    <w:rsid w:val="00C3675F"/>
    <w:rsid w:val="00C368CA"/>
    <w:rsid w:val="00C37BEB"/>
    <w:rsid w:val="00C41FD3"/>
    <w:rsid w:val="00C53FC9"/>
    <w:rsid w:val="00C57046"/>
    <w:rsid w:val="00C66B4D"/>
    <w:rsid w:val="00C82EA8"/>
    <w:rsid w:val="00C8441C"/>
    <w:rsid w:val="00C96FE3"/>
    <w:rsid w:val="00C97760"/>
    <w:rsid w:val="00CA52FD"/>
    <w:rsid w:val="00CB2EE7"/>
    <w:rsid w:val="00CC0554"/>
    <w:rsid w:val="00CC6BDD"/>
    <w:rsid w:val="00CD6E54"/>
    <w:rsid w:val="00CD7856"/>
    <w:rsid w:val="00CE48CD"/>
    <w:rsid w:val="00CF20C0"/>
    <w:rsid w:val="00CF2AFC"/>
    <w:rsid w:val="00CF2C84"/>
    <w:rsid w:val="00CF5C49"/>
    <w:rsid w:val="00D17290"/>
    <w:rsid w:val="00D17D65"/>
    <w:rsid w:val="00D23D6E"/>
    <w:rsid w:val="00D245BA"/>
    <w:rsid w:val="00D2513A"/>
    <w:rsid w:val="00D266C2"/>
    <w:rsid w:val="00D279FD"/>
    <w:rsid w:val="00D332AB"/>
    <w:rsid w:val="00D41B3A"/>
    <w:rsid w:val="00D4554C"/>
    <w:rsid w:val="00D558CD"/>
    <w:rsid w:val="00D61038"/>
    <w:rsid w:val="00D67108"/>
    <w:rsid w:val="00D712E4"/>
    <w:rsid w:val="00D80048"/>
    <w:rsid w:val="00D86AEF"/>
    <w:rsid w:val="00D9073C"/>
    <w:rsid w:val="00D93EE1"/>
    <w:rsid w:val="00DB63BB"/>
    <w:rsid w:val="00DB64CB"/>
    <w:rsid w:val="00DC3003"/>
    <w:rsid w:val="00DC7F1F"/>
    <w:rsid w:val="00DD093F"/>
    <w:rsid w:val="00DD139D"/>
    <w:rsid w:val="00DD685F"/>
    <w:rsid w:val="00DF22AA"/>
    <w:rsid w:val="00DF33D9"/>
    <w:rsid w:val="00DF59D3"/>
    <w:rsid w:val="00E135AB"/>
    <w:rsid w:val="00E22283"/>
    <w:rsid w:val="00E31891"/>
    <w:rsid w:val="00E3563D"/>
    <w:rsid w:val="00E4095C"/>
    <w:rsid w:val="00E70E85"/>
    <w:rsid w:val="00E93614"/>
    <w:rsid w:val="00E965C6"/>
    <w:rsid w:val="00EA3CD7"/>
    <w:rsid w:val="00EB0999"/>
    <w:rsid w:val="00EB3360"/>
    <w:rsid w:val="00EB35E2"/>
    <w:rsid w:val="00EB721F"/>
    <w:rsid w:val="00EC1A06"/>
    <w:rsid w:val="00ED21AE"/>
    <w:rsid w:val="00ED7F54"/>
    <w:rsid w:val="00EE0D24"/>
    <w:rsid w:val="00EF0562"/>
    <w:rsid w:val="00F0510F"/>
    <w:rsid w:val="00F20FAA"/>
    <w:rsid w:val="00F21CC9"/>
    <w:rsid w:val="00F24666"/>
    <w:rsid w:val="00F269AF"/>
    <w:rsid w:val="00F440A0"/>
    <w:rsid w:val="00F459FC"/>
    <w:rsid w:val="00F46BD8"/>
    <w:rsid w:val="00F47B7C"/>
    <w:rsid w:val="00F53F03"/>
    <w:rsid w:val="00F55243"/>
    <w:rsid w:val="00F61E8C"/>
    <w:rsid w:val="00F66232"/>
    <w:rsid w:val="00F714DE"/>
    <w:rsid w:val="00F8605C"/>
    <w:rsid w:val="00F934DC"/>
    <w:rsid w:val="00FA23CB"/>
    <w:rsid w:val="00FA3C00"/>
    <w:rsid w:val="00FB1A25"/>
    <w:rsid w:val="00FB3B06"/>
    <w:rsid w:val="00FD2A24"/>
    <w:rsid w:val="00FF0050"/>
    <w:rsid w:val="00FF3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CF"/>
  </w:style>
  <w:style w:type="paragraph" w:styleId="Heading1">
    <w:name w:val="heading 1"/>
    <w:basedOn w:val="Normal"/>
    <w:next w:val="Normal"/>
    <w:link w:val="Heading1Char"/>
    <w:uiPriority w:val="9"/>
    <w:qFormat/>
    <w:rsid w:val="00FB3B06"/>
    <w:pPr>
      <w:keepNext/>
      <w:keepLines/>
      <w:spacing w:before="480" w:after="0" w:line="240" w:lineRule="auto"/>
      <w:jc w:val="both"/>
      <w:outlineLvl w:val="0"/>
    </w:pPr>
    <w:rPr>
      <w:rFonts w:eastAsiaTheme="majorEastAsia" w:cstheme="majorBidi"/>
      <w:b/>
      <w:bCs/>
      <w:sz w:val="28"/>
      <w:szCs w:val="28"/>
      <w:lang w:eastAsia="hr-HR"/>
    </w:rPr>
  </w:style>
  <w:style w:type="paragraph" w:styleId="Heading2">
    <w:name w:val="heading 2"/>
    <w:basedOn w:val="Normal"/>
    <w:next w:val="Normal"/>
    <w:link w:val="Heading2Char"/>
    <w:uiPriority w:val="9"/>
    <w:unhideWhenUsed/>
    <w:qFormat/>
    <w:rsid w:val="00FB3B06"/>
    <w:pPr>
      <w:keepNext/>
      <w:keepLines/>
      <w:spacing w:before="200" w:after="0" w:line="240" w:lineRule="auto"/>
      <w:jc w:val="both"/>
      <w:outlineLvl w:val="1"/>
    </w:pPr>
    <w:rPr>
      <w:rFonts w:eastAsiaTheme="majorEastAsia" w:cstheme="majorBidi"/>
      <w:b/>
      <w:bCs/>
      <w:sz w:val="24"/>
      <w:szCs w:val="26"/>
      <w:lang w:eastAsia="hr-HR"/>
    </w:rPr>
  </w:style>
  <w:style w:type="paragraph" w:styleId="Heading7">
    <w:name w:val="heading 7"/>
    <w:basedOn w:val="Normal"/>
    <w:next w:val="Normal"/>
    <w:link w:val="Heading7Char"/>
    <w:qFormat/>
    <w:rsid w:val="002B6AD1"/>
    <w:pPr>
      <w:spacing w:before="240" w:after="60" w:line="240" w:lineRule="auto"/>
      <w:outlineLvl w:val="6"/>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B06"/>
    <w:rPr>
      <w:rFonts w:eastAsiaTheme="majorEastAsia" w:cstheme="majorBidi"/>
      <w:b/>
      <w:bCs/>
      <w:sz w:val="28"/>
      <w:szCs w:val="28"/>
      <w:lang w:eastAsia="hr-HR"/>
    </w:rPr>
  </w:style>
  <w:style w:type="character" w:customStyle="1" w:styleId="Heading2Char">
    <w:name w:val="Heading 2 Char"/>
    <w:basedOn w:val="DefaultParagraphFont"/>
    <w:link w:val="Heading2"/>
    <w:uiPriority w:val="9"/>
    <w:rsid w:val="00FB3B06"/>
    <w:rPr>
      <w:rFonts w:eastAsiaTheme="majorEastAsia" w:cstheme="majorBidi"/>
      <w:b/>
      <w:bCs/>
      <w:sz w:val="24"/>
      <w:szCs w:val="26"/>
      <w:lang w:eastAsia="hr-HR"/>
    </w:rPr>
  </w:style>
  <w:style w:type="numbering" w:customStyle="1" w:styleId="Bezpopisa1">
    <w:name w:val="Bez popisa1"/>
    <w:next w:val="NoList"/>
    <w:uiPriority w:val="99"/>
    <w:semiHidden/>
    <w:unhideWhenUsed/>
    <w:rsid w:val="00FB3B06"/>
  </w:style>
  <w:style w:type="paragraph" w:customStyle="1" w:styleId="Naslov31">
    <w:name w:val="Naslov 31"/>
    <w:basedOn w:val="Heading1"/>
    <w:link w:val="Naslov31Char"/>
    <w:qFormat/>
    <w:rsid w:val="00FB3B06"/>
    <w:rPr>
      <w:b w:val="0"/>
      <w:sz w:val="25"/>
      <w:szCs w:val="25"/>
    </w:rPr>
  </w:style>
  <w:style w:type="character" w:customStyle="1" w:styleId="tijelotekstaChar">
    <w:name w:val="tijelo teksta Char"/>
    <w:link w:val="tijeloteksta"/>
    <w:uiPriority w:val="99"/>
    <w:locked/>
    <w:rsid w:val="00FB3B06"/>
    <w:rPr>
      <w:rFonts w:ascii="Arial" w:hAnsi="Arial"/>
    </w:rPr>
  </w:style>
  <w:style w:type="character" w:customStyle="1" w:styleId="Naslov31Char">
    <w:name w:val="Naslov 31 Char"/>
    <w:basedOn w:val="Heading1Char"/>
    <w:link w:val="Naslov31"/>
    <w:rsid w:val="00FB3B06"/>
    <w:rPr>
      <w:rFonts w:eastAsiaTheme="majorEastAsia" w:cstheme="majorBidi"/>
      <w:b w:val="0"/>
      <w:bCs/>
      <w:sz w:val="25"/>
      <w:szCs w:val="25"/>
      <w:lang w:eastAsia="hr-HR"/>
    </w:rPr>
  </w:style>
  <w:style w:type="paragraph" w:customStyle="1" w:styleId="tijeloteksta">
    <w:name w:val="tijelo teksta"/>
    <w:basedOn w:val="Normal"/>
    <w:link w:val="tijelotekstaChar"/>
    <w:uiPriority w:val="99"/>
    <w:rsid w:val="00FB3B06"/>
    <w:pPr>
      <w:spacing w:after="0" w:line="240" w:lineRule="auto"/>
      <w:jc w:val="both"/>
    </w:pPr>
    <w:rPr>
      <w:rFonts w:ascii="Arial" w:hAnsi="Arial"/>
    </w:rPr>
  </w:style>
  <w:style w:type="paragraph" w:styleId="ListParagraph">
    <w:name w:val="List Paragraph"/>
    <w:basedOn w:val="Normal"/>
    <w:uiPriority w:val="34"/>
    <w:qFormat/>
    <w:rsid w:val="00FB3B06"/>
    <w:pPr>
      <w:spacing w:after="0" w:line="240" w:lineRule="auto"/>
      <w:ind w:left="720"/>
      <w:contextualSpacing/>
      <w:jc w:val="both"/>
    </w:pPr>
    <w:rPr>
      <w:rFonts w:eastAsia="Times New Roman" w:cs="Times New Roman"/>
      <w:sz w:val="24"/>
      <w:szCs w:val="24"/>
      <w:lang w:eastAsia="hr-HR"/>
    </w:rPr>
  </w:style>
  <w:style w:type="paragraph" w:styleId="BodyText">
    <w:name w:val="Body Text"/>
    <w:basedOn w:val="Normal"/>
    <w:link w:val="BodyTextChar"/>
    <w:uiPriority w:val="99"/>
    <w:semiHidden/>
    <w:rsid w:val="00FB3B06"/>
    <w:pPr>
      <w:spacing w:after="120" w:line="240" w:lineRule="auto"/>
      <w:jc w:val="both"/>
    </w:pPr>
    <w:rPr>
      <w:rFonts w:ascii="Arial" w:eastAsia="Times New Roman" w:hAnsi="Arial" w:cs="Times New Roman"/>
      <w:bCs/>
      <w:color w:val="000000"/>
      <w:sz w:val="20"/>
      <w:szCs w:val="24"/>
    </w:rPr>
  </w:style>
  <w:style w:type="character" w:customStyle="1" w:styleId="BodyTextChar">
    <w:name w:val="Body Text Char"/>
    <w:basedOn w:val="DefaultParagraphFont"/>
    <w:link w:val="BodyText"/>
    <w:uiPriority w:val="99"/>
    <w:semiHidden/>
    <w:rsid w:val="00FB3B06"/>
    <w:rPr>
      <w:rFonts w:ascii="Arial" w:eastAsia="Times New Roman" w:hAnsi="Arial" w:cs="Times New Roman"/>
      <w:bCs/>
      <w:color w:val="000000"/>
      <w:sz w:val="20"/>
      <w:szCs w:val="24"/>
    </w:rPr>
  </w:style>
  <w:style w:type="paragraph" w:styleId="Footer">
    <w:name w:val="footer"/>
    <w:basedOn w:val="Normal"/>
    <w:link w:val="FooterChar"/>
    <w:uiPriority w:val="99"/>
    <w:rsid w:val="00FB3B0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FooterChar">
    <w:name w:val="Footer Char"/>
    <w:basedOn w:val="DefaultParagraphFont"/>
    <w:link w:val="Footer"/>
    <w:uiPriority w:val="99"/>
    <w:rsid w:val="00FB3B06"/>
    <w:rPr>
      <w:rFonts w:ascii="Times New Roman" w:eastAsia="Times New Roman" w:hAnsi="Times New Roman" w:cs="Times New Roman"/>
      <w:sz w:val="24"/>
      <w:szCs w:val="24"/>
      <w:lang w:eastAsia="hr-HR"/>
    </w:rPr>
  </w:style>
  <w:style w:type="paragraph" w:styleId="Caption">
    <w:name w:val="caption"/>
    <w:basedOn w:val="Normal"/>
    <w:next w:val="Normal"/>
    <w:qFormat/>
    <w:rsid w:val="00FB3B06"/>
    <w:pPr>
      <w:spacing w:before="120" w:after="120" w:line="240" w:lineRule="auto"/>
      <w:ind w:left="1701"/>
      <w:jc w:val="both"/>
    </w:pPr>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B3B06"/>
    <w:pPr>
      <w:spacing w:after="0" w:line="240" w:lineRule="auto"/>
      <w:jc w:val="both"/>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FB3B06"/>
    <w:rPr>
      <w:rFonts w:ascii="Tahoma" w:eastAsia="Times New Roman" w:hAnsi="Tahoma" w:cs="Tahoma"/>
      <w:sz w:val="16"/>
      <w:szCs w:val="16"/>
      <w:lang w:eastAsia="hr-HR"/>
    </w:rPr>
  </w:style>
  <w:style w:type="paragraph" w:customStyle="1" w:styleId="tijelotaksta">
    <w:name w:val="tijelo taksta"/>
    <w:basedOn w:val="Normal"/>
    <w:link w:val="tijelotakstaChar"/>
    <w:qFormat/>
    <w:rsid w:val="00FB3B06"/>
    <w:pPr>
      <w:spacing w:after="0" w:line="240" w:lineRule="auto"/>
      <w:jc w:val="both"/>
    </w:pPr>
    <w:rPr>
      <w:rFonts w:ascii="Calibri" w:eastAsia="Times New Roman" w:hAnsi="Calibri" w:cs="Times New Roman"/>
      <w:sz w:val="24"/>
      <w:szCs w:val="24"/>
      <w:lang w:eastAsia="hr-HR"/>
    </w:rPr>
  </w:style>
  <w:style w:type="character" w:customStyle="1" w:styleId="tijelotakstaChar">
    <w:name w:val="tijelo taksta Char"/>
    <w:basedOn w:val="DefaultParagraphFont"/>
    <w:link w:val="tijelotaksta"/>
    <w:rsid w:val="00FB3B06"/>
    <w:rPr>
      <w:rFonts w:ascii="Calibri" w:eastAsia="Times New Roman" w:hAnsi="Calibri" w:cs="Times New Roman"/>
      <w:sz w:val="24"/>
      <w:szCs w:val="24"/>
      <w:lang w:eastAsia="hr-HR"/>
    </w:rPr>
  </w:style>
  <w:style w:type="character" w:styleId="Hyperlink">
    <w:name w:val="Hyperlink"/>
    <w:basedOn w:val="DefaultParagraphFont"/>
    <w:uiPriority w:val="99"/>
    <w:rsid w:val="00FB3B06"/>
    <w:rPr>
      <w:rFonts w:cs="Times New Roman"/>
      <w:color w:val="0000FF"/>
      <w:u w:val="single"/>
    </w:rPr>
  </w:style>
  <w:style w:type="character" w:customStyle="1" w:styleId="tabliceChar">
    <w:name w:val="tablice Char"/>
    <w:link w:val="tablice"/>
    <w:uiPriority w:val="99"/>
    <w:locked/>
    <w:rsid w:val="00FB3B06"/>
    <w:rPr>
      <w:rFonts w:ascii="Arial" w:hAnsi="Arial"/>
      <w:i/>
    </w:rPr>
  </w:style>
  <w:style w:type="paragraph" w:customStyle="1" w:styleId="tablice">
    <w:name w:val="tablice"/>
    <w:basedOn w:val="Normal"/>
    <w:link w:val="tabliceChar"/>
    <w:uiPriority w:val="99"/>
    <w:rsid w:val="00FB3B06"/>
    <w:pPr>
      <w:spacing w:before="120" w:after="120" w:line="240" w:lineRule="auto"/>
      <w:jc w:val="both"/>
    </w:pPr>
    <w:rPr>
      <w:rFonts w:ascii="Arial" w:hAnsi="Arial"/>
      <w:i/>
    </w:rPr>
  </w:style>
  <w:style w:type="paragraph" w:styleId="TOCHeading">
    <w:name w:val="TOC Heading"/>
    <w:basedOn w:val="Heading1"/>
    <w:next w:val="Normal"/>
    <w:uiPriority w:val="39"/>
    <w:semiHidden/>
    <w:unhideWhenUsed/>
    <w:qFormat/>
    <w:rsid w:val="00FB3B06"/>
    <w:pPr>
      <w:spacing w:line="276" w:lineRule="auto"/>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FB3B06"/>
    <w:pPr>
      <w:spacing w:after="100" w:line="240" w:lineRule="auto"/>
      <w:jc w:val="both"/>
    </w:pPr>
    <w:rPr>
      <w:rFonts w:eastAsia="Times New Roman" w:cs="Times New Roman"/>
      <w:sz w:val="24"/>
      <w:szCs w:val="24"/>
      <w:lang w:eastAsia="hr-HR"/>
    </w:rPr>
  </w:style>
  <w:style w:type="paragraph" w:styleId="TOC2">
    <w:name w:val="toc 2"/>
    <w:basedOn w:val="Normal"/>
    <w:next w:val="Normal"/>
    <w:autoRedefine/>
    <w:uiPriority w:val="39"/>
    <w:unhideWhenUsed/>
    <w:rsid w:val="00FB3B06"/>
    <w:pPr>
      <w:spacing w:after="100" w:line="240" w:lineRule="auto"/>
      <w:ind w:left="240"/>
      <w:jc w:val="both"/>
    </w:pPr>
    <w:rPr>
      <w:rFonts w:eastAsia="Times New Roman" w:cs="Times New Roman"/>
      <w:sz w:val="24"/>
      <w:szCs w:val="24"/>
      <w:lang w:eastAsia="hr-HR"/>
    </w:rPr>
  </w:style>
  <w:style w:type="paragraph" w:styleId="Header">
    <w:name w:val="header"/>
    <w:basedOn w:val="Normal"/>
    <w:link w:val="HeaderChar"/>
    <w:uiPriority w:val="99"/>
    <w:unhideWhenUsed/>
    <w:rsid w:val="00FB3B06"/>
    <w:pPr>
      <w:tabs>
        <w:tab w:val="center" w:pos="4536"/>
        <w:tab w:val="right" w:pos="9072"/>
      </w:tabs>
      <w:spacing w:after="0" w:line="240" w:lineRule="auto"/>
      <w:jc w:val="both"/>
    </w:pPr>
    <w:rPr>
      <w:rFonts w:eastAsia="Times New Roman" w:cs="Times New Roman"/>
      <w:sz w:val="24"/>
      <w:szCs w:val="24"/>
      <w:lang w:eastAsia="hr-HR"/>
    </w:rPr>
  </w:style>
  <w:style w:type="character" w:customStyle="1" w:styleId="HeaderChar">
    <w:name w:val="Header Char"/>
    <w:basedOn w:val="DefaultParagraphFont"/>
    <w:link w:val="Header"/>
    <w:uiPriority w:val="99"/>
    <w:rsid w:val="00FB3B06"/>
    <w:rPr>
      <w:rFonts w:eastAsia="Times New Roman" w:cs="Times New Roman"/>
      <w:sz w:val="24"/>
      <w:szCs w:val="24"/>
      <w:lang w:eastAsia="hr-HR"/>
    </w:rPr>
  </w:style>
  <w:style w:type="paragraph" w:customStyle="1" w:styleId="P1">
    <w:name w:val="P 1"/>
    <w:basedOn w:val="Normal"/>
    <w:uiPriority w:val="99"/>
    <w:rsid w:val="00AD013D"/>
    <w:pPr>
      <w:spacing w:before="120" w:after="120" w:line="240" w:lineRule="auto"/>
      <w:ind w:left="567"/>
      <w:jc w:val="both"/>
    </w:pPr>
    <w:rPr>
      <w:rFonts w:ascii="Arial" w:eastAsia="Times New Roman" w:hAnsi="Arial" w:cs="Times New Roman"/>
      <w:color w:val="000000"/>
      <w:sz w:val="20"/>
      <w:szCs w:val="24"/>
    </w:rPr>
  </w:style>
  <w:style w:type="paragraph" w:customStyle="1" w:styleId="Default">
    <w:name w:val="Default"/>
    <w:rsid w:val="001C1FF0"/>
    <w:pPr>
      <w:autoSpaceDE w:val="0"/>
      <w:autoSpaceDN w:val="0"/>
      <w:adjustRightInd w:val="0"/>
      <w:spacing w:after="0" w:line="240" w:lineRule="auto"/>
    </w:pPr>
    <w:rPr>
      <w:rFonts w:ascii="Arial" w:hAnsi="Arial" w:cs="Arial"/>
      <w:color w:val="000000"/>
      <w:sz w:val="24"/>
      <w:szCs w:val="24"/>
    </w:rPr>
  </w:style>
  <w:style w:type="paragraph" w:styleId="FootnoteText">
    <w:name w:val="footnote text"/>
    <w:aliases w:val="single space,footnote text,ft,Footnote Text Char Char Char Char Char Char Char Char Char Char,Tekst fusnote Char2 Char,Tekst fusnote Char1 Char1 Char,Tekst fusnote Char Char Char1 Char,Tekst fusnote Char Char1 Char Char,Fußnote,Podrozdział"/>
    <w:basedOn w:val="Normal"/>
    <w:link w:val="FootnoteTextChar"/>
    <w:uiPriority w:val="99"/>
    <w:rsid w:val="006F63A8"/>
    <w:pPr>
      <w:tabs>
        <w:tab w:val="left" w:pos="284"/>
      </w:tabs>
      <w:spacing w:after="0" w:line="200" w:lineRule="atLeast"/>
      <w:ind w:left="284" w:hanging="284"/>
    </w:pPr>
    <w:rPr>
      <w:rFonts w:ascii="Arial" w:eastAsia="Times New Roman" w:hAnsi="Arial" w:cs="Times New Roman"/>
      <w:sz w:val="14"/>
      <w:szCs w:val="20"/>
      <w:lang w:val="en-US"/>
    </w:rPr>
  </w:style>
  <w:style w:type="character" w:customStyle="1" w:styleId="TekstfusnoteChar">
    <w:name w:val="Tekst fusnote Char"/>
    <w:aliases w:val="Fußnote Char,Podrozdział Char,Fußnotentextf Char,- OP Char"/>
    <w:basedOn w:val="DefaultParagraphFont"/>
    <w:uiPriority w:val="99"/>
    <w:rsid w:val="006F63A8"/>
    <w:rPr>
      <w:sz w:val="20"/>
      <w:szCs w:val="20"/>
    </w:rPr>
  </w:style>
  <w:style w:type="character" w:styleId="FootnoteReference">
    <w:name w:val="footnote reference"/>
    <w:aliases w:val="ftref,BVI fnr"/>
    <w:uiPriority w:val="99"/>
    <w:rsid w:val="006F63A8"/>
    <w:rPr>
      <w:vertAlign w:val="superscript"/>
    </w:rPr>
  </w:style>
  <w:style w:type="character" w:customStyle="1" w:styleId="FootnoteTextChar">
    <w:name w:val="Footnote Text Char"/>
    <w:aliases w:val="single space Char,footnote text Char,ft Char,Footnote Text Char Char Char Char Char Char Char Char Char Char Char,Tekst fusnote Char2 Char Char,Tekst fusnote Char1 Char1 Char Char,Tekst fusnote Char Char Char1 Char Char,Fußnote Char1"/>
    <w:link w:val="FootnoteText"/>
    <w:semiHidden/>
    <w:rsid w:val="006F63A8"/>
    <w:rPr>
      <w:rFonts w:ascii="Arial" w:eastAsia="Times New Roman" w:hAnsi="Arial" w:cs="Times New Roman"/>
      <w:sz w:val="14"/>
      <w:szCs w:val="20"/>
      <w:lang w:val="en-US"/>
    </w:rPr>
  </w:style>
  <w:style w:type="paragraph" w:customStyle="1" w:styleId="Normal1">
    <w:name w:val="Normal1"/>
    <w:rsid w:val="00D712E4"/>
    <w:pPr>
      <w:spacing w:after="0"/>
    </w:pPr>
    <w:rPr>
      <w:rFonts w:ascii="Arial" w:eastAsia="Arial" w:hAnsi="Arial" w:cs="Arial"/>
      <w:color w:val="000000"/>
      <w:lang w:eastAsia="hr-HR"/>
    </w:rPr>
  </w:style>
  <w:style w:type="paragraph" w:styleId="NormalWeb">
    <w:name w:val="Normal (Web)"/>
    <w:basedOn w:val="Normal"/>
    <w:uiPriority w:val="99"/>
    <w:unhideWhenUsed/>
    <w:rsid w:val="00682602"/>
    <w:pPr>
      <w:spacing w:after="0" w:line="240" w:lineRule="auto"/>
    </w:pPr>
    <w:rPr>
      <w:rFonts w:ascii="Times New Roman" w:hAnsi="Times New Roman" w:cs="Times New Roman"/>
      <w:sz w:val="24"/>
      <w:szCs w:val="24"/>
      <w:lang w:eastAsia="hr-HR"/>
    </w:rPr>
  </w:style>
  <w:style w:type="character" w:styleId="Emphasis">
    <w:name w:val="Emphasis"/>
    <w:basedOn w:val="DefaultParagraphFont"/>
    <w:uiPriority w:val="20"/>
    <w:qFormat/>
    <w:rsid w:val="00682602"/>
    <w:rPr>
      <w:i/>
      <w:iCs/>
    </w:rPr>
  </w:style>
  <w:style w:type="character" w:styleId="Strong">
    <w:name w:val="Strong"/>
    <w:basedOn w:val="DefaultParagraphFont"/>
    <w:uiPriority w:val="22"/>
    <w:qFormat/>
    <w:rsid w:val="00682602"/>
    <w:rPr>
      <w:b/>
      <w:bCs/>
    </w:rPr>
  </w:style>
  <w:style w:type="paragraph" w:styleId="NoSpacing">
    <w:name w:val="No Spacing"/>
    <w:link w:val="NoSpacingChar"/>
    <w:uiPriority w:val="1"/>
    <w:qFormat/>
    <w:rsid w:val="000D1544"/>
    <w:pPr>
      <w:spacing w:after="0" w:line="240" w:lineRule="auto"/>
    </w:pPr>
    <w:rPr>
      <w:rFonts w:eastAsiaTheme="minorEastAsia"/>
      <w:lang w:eastAsia="hr-HR"/>
    </w:rPr>
  </w:style>
  <w:style w:type="character" w:customStyle="1" w:styleId="NoSpacingChar">
    <w:name w:val="No Spacing Char"/>
    <w:basedOn w:val="DefaultParagraphFont"/>
    <w:link w:val="NoSpacing"/>
    <w:uiPriority w:val="1"/>
    <w:rsid w:val="000D1544"/>
    <w:rPr>
      <w:rFonts w:eastAsiaTheme="minorEastAsia"/>
      <w:lang w:eastAsia="hr-HR"/>
    </w:rPr>
  </w:style>
  <w:style w:type="paragraph" w:styleId="TOC3">
    <w:name w:val="toc 3"/>
    <w:basedOn w:val="Normal"/>
    <w:next w:val="Normal"/>
    <w:autoRedefine/>
    <w:uiPriority w:val="39"/>
    <w:unhideWhenUsed/>
    <w:rsid w:val="008F1A15"/>
    <w:pPr>
      <w:spacing w:after="100"/>
      <w:ind w:left="440"/>
    </w:pPr>
  </w:style>
  <w:style w:type="character" w:styleId="CommentReference">
    <w:name w:val="annotation reference"/>
    <w:basedOn w:val="DefaultParagraphFont"/>
    <w:uiPriority w:val="99"/>
    <w:semiHidden/>
    <w:unhideWhenUsed/>
    <w:rsid w:val="00DC3003"/>
    <w:rPr>
      <w:sz w:val="16"/>
      <w:szCs w:val="16"/>
    </w:rPr>
  </w:style>
  <w:style w:type="paragraph" w:styleId="CommentText">
    <w:name w:val="annotation text"/>
    <w:basedOn w:val="Normal"/>
    <w:link w:val="CommentTextChar"/>
    <w:uiPriority w:val="99"/>
    <w:semiHidden/>
    <w:unhideWhenUsed/>
    <w:rsid w:val="00DC3003"/>
    <w:pPr>
      <w:spacing w:line="240" w:lineRule="auto"/>
    </w:pPr>
    <w:rPr>
      <w:sz w:val="20"/>
      <w:szCs w:val="20"/>
    </w:rPr>
  </w:style>
  <w:style w:type="character" w:customStyle="1" w:styleId="CommentTextChar">
    <w:name w:val="Comment Text Char"/>
    <w:basedOn w:val="DefaultParagraphFont"/>
    <w:link w:val="CommentText"/>
    <w:uiPriority w:val="99"/>
    <w:semiHidden/>
    <w:rsid w:val="00DC3003"/>
    <w:rPr>
      <w:sz w:val="20"/>
      <w:szCs w:val="20"/>
    </w:rPr>
  </w:style>
  <w:style w:type="paragraph" w:styleId="CommentSubject">
    <w:name w:val="annotation subject"/>
    <w:basedOn w:val="CommentText"/>
    <w:next w:val="CommentText"/>
    <w:link w:val="CommentSubjectChar"/>
    <w:uiPriority w:val="99"/>
    <w:semiHidden/>
    <w:unhideWhenUsed/>
    <w:rsid w:val="00DC3003"/>
    <w:rPr>
      <w:b/>
      <w:bCs/>
    </w:rPr>
  </w:style>
  <w:style w:type="character" w:customStyle="1" w:styleId="CommentSubjectChar">
    <w:name w:val="Comment Subject Char"/>
    <w:basedOn w:val="CommentTextChar"/>
    <w:link w:val="CommentSubject"/>
    <w:uiPriority w:val="99"/>
    <w:semiHidden/>
    <w:rsid w:val="00DC3003"/>
    <w:rPr>
      <w:b/>
      <w:bCs/>
      <w:sz w:val="20"/>
      <w:szCs w:val="20"/>
    </w:rPr>
  </w:style>
  <w:style w:type="character" w:customStyle="1" w:styleId="Heading7Char">
    <w:name w:val="Heading 7 Char"/>
    <w:basedOn w:val="DefaultParagraphFont"/>
    <w:link w:val="Heading7"/>
    <w:rsid w:val="002B6AD1"/>
    <w:rPr>
      <w:rFonts w:ascii="Times New Roman" w:eastAsia="Times New Roman" w:hAnsi="Times New Roman" w:cs="Times New Roman"/>
      <w:sz w:val="24"/>
      <w:szCs w:val="24"/>
      <w:lang w:eastAsia="hr-HR"/>
    </w:rPr>
  </w:style>
  <w:style w:type="paragraph" w:customStyle="1" w:styleId="Odlomakpopisa">
    <w:name w:val="Odlomak popisa"/>
    <w:basedOn w:val="Normal"/>
    <w:uiPriority w:val="34"/>
    <w:qFormat/>
    <w:rsid w:val="00EA3CD7"/>
    <w:pPr>
      <w:spacing w:after="0" w:line="240" w:lineRule="auto"/>
      <w:ind w:left="708"/>
    </w:pPr>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FB3B06"/>
    <w:pPr>
      <w:keepNext/>
      <w:keepLines/>
      <w:spacing w:before="480" w:after="0" w:line="240" w:lineRule="auto"/>
      <w:jc w:val="both"/>
      <w:outlineLvl w:val="0"/>
    </w:pPr>
    <w:rPr>
      <w:rFonts w:eastAsiaTheme="majorEastAsia" w:cstheme="majorBidi"/>
      <w:b/>
      <w:bCs/>
      <w:sz w:val="28"/>
      <w:szCs w:val="28"/>
      <w:lang w:eastAsia="hr-HR"/>
    </w:rPr>
  </w:style>
  <w:style w:type="paragraph" w:styleId="Naslov2">
    <w:name w:val="heading 2"/>
    <w:basedOn w:val="Normal"/>
    <w:next w:val="Normal"/>
    <w:link w:val="Naslov2Char"/>
    <w:uiPriority w:val="9"/>
    <w:unhideWhenUsed/>
    <w:qFormat/>
    <w:rsid w:val="00FB3B06"/>
    <w:pPr>
      <w:keepNext/>
      <w:keepLines/>
      <w:spacing w:before="200" w:after="0" w:line="240" w:lineRule="auto"/>
      <w:jc w:val="both"/>
      <w:outlineLvl w:val="1"/>
    </w:pPr>
    <w:rPr>
      <w:rFonts w:eastAsiaTheme="majorEastAsia" w:cstheme="majorBidi"/>
      <w:b/>
      <w:bCs/>
      <w:sz w:val="24"/>
      <w:szCs w:val="2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B3B06"/>
    <w:rPr>
      <w:rFonts w:eastAsiaTheme="majorEastAsia" w:cstheme="majorBidi"/>
      <w:b/>
      <w:bCs/>
      <w:sz w:val="28"/>
      <w:szCs w:val="28"/>
      <w:lang w:eastAsia="hr-HR"/>
    </w:rPr>
  </w:style>
  <w:style w:type="character" w:customStyle="1" w:styleId="Naslov2Char">
    <w:name w:val="Naslov 2 Char"/>
    <w:basedOn w:val="Zadanifontodlomka"/>
    <w:link w:val="Naslov2"/>
    <w:uiPriority w:val="9"/>
    <w:rsid w:val="00FB3B06"/>
    <w:rPr>
      <w:rFonts w:eastAsiaTheme="majorEastAsia" w:cstheme="majorBidi"/>
      <w:b/>
      <w:bCs/>
      <w:sz w:val="24"/>
      <w:szCs w:val="26"/>
      <w:lang w:eastAsia="hr-HR"/>
    </w:rPr>
  </w:style>
  <w:style w:type="numbering" w:customStyle="1" w:styleId="Bezpopisa1">
    <w:name w:val="Bez popisa1"/>
    <w:next w:val="Bezpopisa"/>
    <w:uiPriority w:val="99"/>
    <w:semiHidden/>
    <w:unhideWhenUsed/>
    <w:rsid w:val="00FB3B06"/>
  </w:style>
  <w:style w:type="paragraph" w:customStyle="1" w:styleId="Naslov31">
    <w:name w:val="Naslov 31"/>
    <w:basedOn w:val="Naslov1"/>
    <w:link w:val="Naslov31Char"/>
    <w:qFormat/>
    <w:rsid w:val="00FB3B06"/>
    <w:rPr>
      <w:b w:val="0"/>
      <w:sz w:val="25"/>
      <w:szCs w:val="25"/>
    </w:rPr>
  </w:style>
  <w:style w:type="character" w:customStyle="1" w:styleId="tijelotekstaChar">
    <w:name w:val="tijelo teksta Char"/>
    <w:link w:val="tijeloteksta"/>
    <w:uiPriority w:val="99"/>
    <w:locked/>
    <w:rsid w:val="00FB3B06"/>
    <w:rPr>
      <w:rFonts w:ascii="Arial" w:hAnsi="Arial"/>
    </w:rPr>
  </w:style>
  <w:style w:type="character" w:customStyle="1" w:styleId="Naslov31Char">
    <w:name w:val="Naslov 31 Char"/>
    <w:basedOn w:val="Naslov1Char"/>
    <w:link w:val="Naslov31"/>
    <w:rsid w:val="00FB3B06"/>
    <w:rPr>
      <w:rFonts w:eastAsiaTheme="majorEastAsia" w:cstheme="majorBidi"/>
      <w:b w:val="0"/>
      <w:bCs/>
      <w:sz w:val="25"/>
      <w:szCs w:val="25"/>
      <w:lang w:eastAsia="hr-HR"/>
    </w:rPr>
  </w:style>
  <w:style w:type="paragraph" w:customStyle="1" w:styleId="tijeloteksta">
    <w:name w:val="tijelo teksta"/>
    <w:basedOn w:val="Normal"/>
    <w:link w:val="tijelotekstaChar"/>
    <w:uiPriority w:val="99"/>
    <w:rsid w:val="00FB3B06"/>
    <w:pPr>
      <w:spacing w:after="0" w:line="240" w:lineRule="auto"/>
      <w:jc w:val="both"/>
    </w:pPr>
    <w:rPr>
      <w:rFonts w:ascii="Arial" w:hAnsi="Arial"/>
    </w:rPr>
  </w:style>
  <w:style w:type="paragraph" w:styleId="Odlomakpopisa">
    <w:name w:val="List Paragraph"/>
    <w:basedOn w:val="Normal"/>
    <w:uiPriority w:val="34"/>
    <w:qFormat/>
    <w:rsid w:val="00FB3B06"/>
    <w:pPr>
      <w:spacing w:after="0" w:line="240" w:lineRule="auto"/>
      <w:ind w:left="720"/>
      <w:contextualSpacing/>
      <w:jc w:val="both"/>
    </w:pPr>
    <w:rPr>
      <w:rFonts w:eastAsia="Times New Roman" w:cs="Times New Roman"/>
      <w:sz w:val="24"/>
      <w:szCs w:val="24"/>
      <w:lang w:eastAsia="hr-HR"/>
    </w:rPr>
  </w:style>
  <w:style w:type="paragraph" w:styleId="Tijeloteksta0">
    <w:name w:val="Body Text"/>
    <w:basedOn w:val="Normal"/>
    <w:link w:val="TijelotekstaChar0"/>
    <w:uiPriority w:val="99"/>
    <w:semiHidden/>
    <w:rsid w:val="00FB3B06"/>
    <w:pPr>
      <w:spacing w:after="120" w:line="240" w:lineRule="auto"/>
      <w:jc w:val="both"/>
    </w:pPr>
    <w:rPr>
      <w:rFonts w:ascii="Arial" w:eastAsia="Times New Roman" w:hAnsi="Arial" w:cs="Times New Roman"/>
      <w:bCs/>
      <w:color w:val="000000"/>
      <w:sz w:val="20"/>
      <w:szCs w:val="24"/>
    </w:rPr>
  </w:style>
  <w:style w:type="character" w:customStyle="1" w:styleId="TijelotekstaChar0">
    <w:name w:val="Tijelo teksta Char"/>
    <w:basedOn w:val="Zadanifontodlomka"/>
    <w:link w:val="Tijeloteksta0"/>
    <w:uiPriority w:val="99"/>
    <w:semiHidden/>
    <w:rsid w:val="00FB3B06"/>
    <w:rPr>
      <w:rFonts w:ascii="Arial" w:eastAsia="Times New Roman" w:hAnsi="Arial" w:cs="Times New Roman"/>
      <w:bCs/>
      <w:color w:val="000000"/>
      <w:sz w:val="20"/>
      <w:szCs w:val="24"/>
    </w:rPr>
  </w:style>
  <w:style w:type="paragraph" w:styleId="Podnoje">
    <w:name w:val="footer"/>
    <w:basedOn w:val="Normal"/>
    <w:link w:val="PodnojeChar"/>
    <w:uiPriority w:val="99"/>
    <w:rsid w:val="00FB3B0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FB3B06"/>
    <w:rPr>
      <w:rFonts w:ascii="Times New Roman" w:eastAsia="Times New Roman" w:hAnsi="Times New Roman" w:cs="Times New Roman"/>
      <w:sz w:val="24"/>
      <w:szCs w:val="24"/>
      <w:lang w:eastAsia="hr-HR"/>
    </w:rPr>
  </w:style>
  <w:style w:type="paragraph" w:styleId="Opisslike">
    <w:name w:val="caption"/>
    <w:basedOn w:val="Normal"/>
    <w:next w:val="Normal"/>
    <w:qFormat/>
    <w:rsid w:val="00FB3B06"/>
    <w:pPr>
      <w:spacing w:before="120" w:after="120" w:line="240" w:lineRule="auto"/>
      <w:ind w:left="1701"/>
      <w:jc w:val="both"/>
    </w:pPr>
    <w:rPr>
      <w:rFonts w:ascii="Times New Roman" w:eastAsia="Times New Roman" w:hAnsi="Times New Roman" w:cs="Times New Roman"/>
      <w:b/>
      <w:bCs/>
      <w:sz w:val="20"/>
      <w:szCs w:val="20"/>
      <w:lang w:val="en-GB"/>
    </w:rPr>
  </w:style>
  <w:style w:type="paragraph" w:styleId="Tekstbalonia">
    <w:name w:val="Balloon Text"/>
    <w:basedOn w:val="Normal"/>
    <w:link w:val="TekstbaloniaChar"/>
    <w:uiPriority w:val="99"/>
    <w:semiHidden/>
    <w:unhideWhenUsed/>
    <w:rsid w:val="00FB3B06"/>
    <w:pPr>
      <w:spacing w:after="0" w:line="240" w:lineRule="auto"/>
      <w:jc w:val="both"/>
    </w:pPr>
    <w:rPr>
      <w:rFonts w:ascii="Tahoma" w:eastAsia="Times New Roman" w:hAnsi="Tahoma" w:cs="Tahoma"/>
      <w:sz w:val="16"/>
      <w:szCs w:val="16"/>
      <w:lang w:eastAsia="hr-HR"/>
    </w:rPr>
  </w:style>
  <w:style w:type="character" w:customStyle="1" w:styleId="TekstbaloniaChar">
    <w:name w:val="Tekst balončića Char"/>
    <w:basedOn w:val="Zadanifontodlomka"/>
    <w:link w:val="Tekstbalonia"/>
    <w:uiPriority w:val="99"/>
    <w:semiHidden/>
    <w:rsid w:val="00FB3B06"/>
    <w:rPr>
      <w:rFonts w:ascii="Tahoma" w:eastAsia="Times New Roman" w:hAnsi="Tahoma" w:cs="Tahoma"/>
      <w:sz w:val="16"/>
      <w:szCs w:val="16"/>
      <w:lang w:eastAsia="hr-HR"/>
    </w:rPr>
  </w:style>
  <w:style w:type="paragraph" w:customStyle="1" w:styleId="tijelotaksta">
    <w:name w:val="tijelo taksta"/>
    <w:basedOn w:val="Normal"/>
    <w:link w:val="tijelotakstaChar"/>
    <w:qFormat/>
    <w:rsid w:val="00FB3B06"/>
    <w:pPr>
      <w:spacing w:after="0" w:line="240" w:lineRule="auto"/>
      <w:jc w:val="both"/>
    </w:pPr>
    <w:rPr>
      <w:rFonts w:ascii="Calibri" w:eastAsia="Times New Roman" w:hAnsi="Calibri" w:cs="Times New Roman"/>
      <w:sz w:val="24"/>
      <w:szCs w:val="24"/>
      <w:lang w:eastAsia="hr-HR"/>
    </w:rPr>
  </w:style>
  <w:style w:type="character" w:customStyle="1" w:styleId="tijelotakstaChar">
    <w:name w:val="tijelo taksta Char"/>
    <w:basedOn w:val="Zadanifontodlomka"/>
    <w:link w:val="tijelotaksta"/>
    <w:rsid w:val="00FB3B06"/>
    <w:rPr>
      <w:rFonts w:ascii="Calibri" w:eastAsia="Times New Roman" w:hAnsi="Calibri" w:cs="Times New Roman"/>
      <w:sz w:val="24"/>
      <w:szCs w:val="24"/>
      <w:lang w:eastAsia="hr-HR"/>
    </w:rPr>
  </w:style>
  <w:style w:type="character" w:styleId="Hiperveza">
    <w:name w:val="Hyperlink"/>
    <w:basedOn w:val="Zadanifontodlomka"/>
    <w:uiPriority w:val="99"/>
    <w:rsid w:val="00FB3B06"/>
    <w:rPr>
      <w:rFonts w:cs="Times New Roman"/>
      <w:color w:val="0000FF"/>
      <w:u w:val="single"/>
    </w:rPr>
  </w:style>
  <w:style w:type="character" w:customStyle="1" w:styleId="tabliceChar">
    <w:name w:val="tablice Char"/>
    <w:link w:val="tablice"/>
    <w:uiPriority w:val="99"/>
    <w:locked/>
    <w:rsid w:val="00FB3B06"/>
    <w:rPr>
      <w:rFonts w:ascii="Arial" w:hAnsi="Arial"/>
      <w:i/>
    </w:rPr>
  </w:style>
  <w:style w:type="paragraph" w:customStyle="1" w:styleId="tablice">
    <w:name w:val="tablice"/>
    <w:basedOn w:val="Normal"/>
    <w:link w:val="tabliceChar"/>
    <w:uiPriority w:val="99"/>
    <w:rsid w:val="00FB3B06"/>
    <w:pPr>
      <w:spacing w:before="120" w:after="120" w:line="240" w:lineRule="auto"/>
      <w:jc w:val="both"/>
    </w:pPr>
    <w:rPr>
      <w:rFonts w:ascii="Arial" w:hAnsi="Arial"/>
      <w:i/>
    </w:rPr>
  </w:style>
  <w:style w:type="paragraph" w:styleId="TOCNaslov">
    <w:name w:val="TOC Heading"/>
    <w:basedOn w:val="Naslov1"/>
    <w:next w:val="Normal"/>
    <w:uiPriority w:val="39"/>
    <w:semiHidden/>
    <w:unhideWhenUsed/>
    <w:qFormat/>
    <w:rsid w:val="00FB3B06"/>
    <w:pPr>
      <w:spacing w:line="276" w:lineRule="auto"/>
      <w:jc w:val="left"/>
      <w:outlineLvl w:val="9"/>
    </w:pPr>
    <w:rPr>
      <w:rFonts w:asciiTheme="majorHAnsi" w:hAnsiTheme="majorHAnsi"/>
      <w:color w:val="365F91" w:themeColor="accent1" w:themeShade="BF"/>
    </w:rPr>
  </w:style>
  <w:style w:type="paragraph" w:styleId="Sadraj1">
    <w:name w:val="toc 1"/>
    <w:basedOn w:val="Normal"/>
    <w:next w:val="Normal"/>
    <w:autoRedefine/>
    <w:uiPriority w:val="39"/>
    <w:unhideWhenUsed/>
    <w:rsid w:val="00FB3B06"/>
    <w:pPr>
      <w:spacing w:after="100" w:line="240" w:lineRule="auto"/>
      <w:jc w:val="both"/>
    </w:pPr>
    <w:rPr>
      <w:rFonts w:eastAsia="Times New Roman" w:cs="Times New Roman"/>
      <w:sz w:val="24"/>
      <w:szCs w:val="24"/>
      <w:lang w:eastAsia="hr-HR"/>
    </w:rPr>
  </w:style>
  <w:style w:type="paragraph" w:styleId="Sadraj2">
    <w:name w:val="toc 2"/>
    <w:basedOn w:val="Normal"/>
    <w:next w:val="Normal"/>
    <w:autoRedefine/>
    <w:uiPriority w:val="39"/>
    <w:unhideWhenUsed/>
    <w:rsid w:val="00FB3B06"/>
    <w:pPr>
      <w:spacing w:after="100" w:line="240" w:lineRule="auto"/>
      <w:ind w:left="240"/>
      <w:jc w:val="both"/>
    </w:pPr>
    <w:rPr>
      <w:rFonts w:eastAsia="Times New Roman" w:cs="Times New Roman"/>
      <w:sz w:val="24"/>
      <w:szCs w:val="24"/>
      <w:lang w:eastAsia="hr-HR"/>
    </w:rPr>
  </w:style>
  <w:style w:type="paragraph" w:styleId="Zaglavlje">
    <w:name w:val="header"/>
    <w:basedOn w:val="Normal"/>
    <w:link w:val="ZaglavljeChar"/>
    <w:uiPriority w:val="99"/>
    <w:unhideWhenUsed/>
    <w:rsid w:val="00FB3B06"/>
    <w:pPr>
      <w:tabs>
        <w:tab w:val="center" w:pos="4536"/>
        <w:tab w:val="right" w:pos="9072"/>
      </w:tabs>
      <w:spacing w:after="0" w:line="240" w:lineRule="auto"/>
      <w:jc w:val="both"/>
    </w:pPr>
    <w:rPr>
      <w:rFonts w:eastAsia="Times New Roman" w:cs="Times New Roman"/>
      <w:sz w:val="24"/>
      <w:szCs w:val="24"/>
      <w:lang w:eastAsia="hr-HR"/>
    </w:rPr>
  </w:style>
  <w:style w:type="character" w:customStyle="1" w:styleId="ZaglavljeChar">
    <w:name w:val="Zaglavlje Char"/>
    <w:basedOn w:val="Zadanifontodlomka"/>
    <w:link w:val="Zaglavlje"/>
    <w:uiPriority w:val="99"/>
    <w:rsid w:val="00FB3B06"/>
    <w:rPr>
      <w:rFonts w:eastAsia="Times New Roman" w:cs="Times New Roman"/>
      <w:sz w:val="24"/>
      <w:szCs w:val="24"/>
      <w:lang w:eastAsia="hr-HR"/>
    </w:rPr>
  </w:style>
  <w:style w:type="paragraph" w:customStyle="1" w:styleId="P1">
    <w:name w:val="P 1"/>
    <w:basedOn w:val="Normal"/>
    <w:uiPriority w:val="99"/>
    <w:rsid w:val="00AD013D"/>
    <w:pPr>
      <w:spacing w:before="120" w:after="120" w:line="240" w:lineRule="auto"/>
      <w:ind w:left="567"/>
      <w:jc w:val="both"/>
    </w:pPr>
    <w:rPr>
      <w:rFonts w:ascii="Arial" w:eastAsia="Times New Roman" w:hAnsi="Arial" w:cs="Times New Roman"/>
      <w:color w:val="000000"/>
      <w:sz w:val="20"/>
      <w:szCs w:val="24"/>
    </w:rPr>
  </w:style>
  <w:style w:type="paragraph" w:customStyle="1" w:styleId="Default">
    <w:name w:val="Default"/>
    <w:rsid w:val="001C1FF0"/>
    <w:pPr>
      <w:autoSpaceDE w:val="0"/>
      <w:autoSpaceDN w:val="0"/>
      <w:adjustRightInd w:val="0"/>
      <w:spacing w:after="0" w:line="240" w:lineRule="auto"/>
    </w:pPr>
    <w:rPr>
      <w:rFonts w:ascii="Arial" w:hAnsi="Arial" w:cs="Arial"/>
      <w:color w:val="000000"/>
      <w:sz w:val="24"/>
      <w:szCs w:val="24"/>
    </w:rPr>
  </w:style>
  <w:style w:type="paragraph" w:styleId="Tekstfusnote">
    <w:name w:val="footnote text"/>
    <w:aliases w:val="single space,footnote text,ft,Footnote Text Char Char Char Char Char Char Char Char Char Char,Tekst fusnote Char2 Char,Tekst fusnote Char1 Char1 Char,Tekst fusnote Char Char Char1 Char,Tekst fusnote Char Char1 Char Char,Fußnote,Podrozdział"/>
    <w:basedOn w:val="Normal"/>
    <w:link w:val="TekstfusnoteChar1"/>
    <w:uiPriority w:val="99"/>
    <w:rsid w:val="006F63A8"/>
    <w:pPr>
      <w:tabs>
        <w:tab w:val="left" w:pos="284"/>
      </w:tabs>
      <w:spacing w:after="0" w:line="200" w:lineRule="atLeast"/>
      <w:ind w:left="284" w:hanging="284"/>
    </w:pPr>
    <w:rPr>
      <w:rFonts w:ascii="Arial" w:eastAsia="Times New Roman" w:hAnsi="Arial" w:cs="Times New Roman"/>
      <w:sz w:val="14"/>
      <w:szCs w:val="20"/>
      <w:lang w:val="en-US"/>
    </w:rPr>
  </w:style>
  <w:style w:type="character" w:customStyle="1" w:styleId="TekstfusnoteChar">
    <w:name w:val="Tekst fusnote Char"/>
    <w:aliases w:val="Fußnote Char,Podrozdział Char,Fußnotentextf Char,- OP Char"/>
    <w:basedOn w:val="Zadanifontodlomka"/>
    <w:uiPriority w:val="99"/>
    <w:rsid w:val="006F63A8"/>
    <w:rPr>
      <w:sz w:val="20"/>
      <w:szCs w:val="20"/>
    </w:rPr>
  </w:style>
  <w:style w:type="character" w:styleId="Referencafusnote">
    <w:name w:val="footnote reference"/>
    <w:aliases w:val="ftref,BVI fnr"/>
    <w:uiPriority w:val="99"/>
    <w:rsid w:val="006F63A8"/>
    <w:rPr>
      <w:vertAlign w:val="superscript"/>
    </w:rPr>
  </w:style>
  <w:style w:type="character" w:customStyle="1" w:styleId="TekstfusnoteChar1">
    <w:name w:val="Tekst fusnote Char1"/>
    <w:aliases w:val="single space Char,footnote text Char,ft Char,Footnote Text Char Char Char Char Char Char Char Char Char Char Char,Tekst fusnote Char2 Char Char,Tekst fusnote Char1 Char1 Char Char,Tekst fusnote Char Char Char1 Char Char,Fußnote Char1"/>
    <w:link w:val="Tekstfusnote"/>
    <w:semiHidden/>
    <w:rsid w:val="006F63A8"/>
    <w:rPr>
      <w:rFonts w:ascii="Arial" w:eastAsia="Times New Roman" w:hAnsi="Arial" w:cs="Times New Roman"/>
      <w:sz w:val="14"/>
      <w:szCs w:val="20"/>
      <w:lang w:val="en-US"/>
    </w:rPr>
  </w:style>
  <w:style w:type="paragraph" w:customStyle="1" w:styleId="Normal1">
    <w:name w:val="Normal1"/>
    <w:rsid w:val="00D712E4"/>
    <w:pPr>
      <w:spacing w:after="0"/>
    </w:pPr>
    <w:rPr>
      <w:rFonts w:ascii="Arial" w:eastAsia="Arial" w:hAnsi="Arial" w:cs="Arial"/>
      <w:color w:val="000000"/>
      <w:lang w:eastAsia="hr-HR"/>
    </w:rPr>
  </w:style>
  <w:style w:type="paragraph" w:styleId="StandardWeb">
    <w:name w:val="Normal (Web)"/>
    <w:basedOn w:val="Normal"/>
    <w:uiPriority w:val="99"/>
    <w:unhideWhenUsed/>
    <w:rsid w:val="00682602"/>
    <w:pPr>
      <w:spacing w:after="0" w:line="240" w:lineRule="auto"/>
    </w:pPr>
    <w:rPr>
      <w:rFonts w:ascii="Times New Roman" w:hAnsi="Times New Roman" w:cs="Times New Roman"/>
      <w:sz w:val="24"/>
      <w:szCs w:val="24"/>
      <w:lang w:eastAsia="hr-HR"/>
    </w:rPr>
  </w:style>
  <w:style w:type="character" w:styleId="Istaknuto">
    <w:name w:val="Emphasis"/>
    <w:basedOn w:val="Zadanifontodlomka"/>
    <w:uiPriority w:val="20"/>
    <w:qFormat/>
    <w:rsid w:val="00682602"/>
    <w:rPr>
      <w:i/>
      <w:iCs/>
    </w:rPr>
  </w:style>
  <w:style w:type="character" w:styleId="Naglaeno">
    <w:name w:val="Strong"/>
    <w:basedOn w:val="Zadanifontodlomka"/>
    <w:uiPriority w:val="22"/>
    <w:qFormat/>
    <w:rsid w:val="00682602"/>
    <w:rPr>
      <w:b/>
      <w:bCs/>
    </w:rPr>
  </w:style>
  <w:style w:type="paragraph" w:styleId="Bezproreda">
    <w:name w:val="No Spacing"/>
    <w:link w:val="BezproredaChar"/>
    <w:uiPriority w:val="1"/>
    <w:qFormat/>
    <w:rsid w:val="000D1544"/>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0D1544"/>
    <w:rPr>
      <w:rFonts w:eastAsiaTheme="minorEastAsia"/>
      <w:lang w:eastAsia="hr-HR"/>
    </w:rPr>
  </w:style>
  <w:style w:type="paragraph" w:styleId="Sadraj3">
    <w:name w:val="toc 3"/>
    <w:basedOn w:val="Normal"/>
    <w:next w:val="Normal"/>
    <w:autoRedefine/>
    <w:uiPriority w:val="39"/>
    <w:unhideWhenUsed/>
    <w:rsid w:val="008F1A15"/>
    <w:pPr>
      <w:spacing w:after="100"/>
      <w:ind w:left="440"/>
    </w:pPr>
  </w:style>
  <w:style w:type="character" w:styleId="Referencakomentara">
    <w:name w:val="annotation reference"/>
    <w:basedOn w:val="Zadanifontodlomka"/>
    <w:uiPriority w:val="99"/>
    <w:semiHidden/>
    <w:unhideWhenUsed/>
    <w:rsid w:val="00DC3003"/>
    <w:rPr>
      <w:sz w:val="16"/>
      <w:szCs w:val="16"/>
    </w:rPr>
  </w:style>
  <w:style w:type="paragraph" w:styleId="Tekstkomentara">
    <w:name w:val="annotation text"/>
    <w:basedOn w:val="Normal"/>
    <w:link w:val="TekstkomentaraChar"/>
    <w:uiPriority w:val="99"/>
    <w:semiHidden/>
    <w:unhideWhenUsed/>
    <w:rsid w:val="00DC3003"/>
    <w:pPr>
      <w:spacing w:line="240" w:lineRule="auto"/>
    </w:pPr>
    <w:rPr>
      <w:sz w:val="20"/>
      <w:szCs w:val="20"/>
    </w:rPr>
  </w:style>
  <w:style w:type="character" w:customStyle="1" w:styleId="TekstkomentaraChar">
    <w:name w:val="Tekst komentara Char"/>
    <w:basedOn w:val="Zadanifontodlomka"/>
    <w:link w:val="Tekstkomentara"/>
    <w:uiPriority w:val="99"/>
    <w:semiHidden/>
    <w:rsid w:val="00DC3003"/>
    <w:rPr>
      <w:sz w:val="20"/>
      <w:szCs w:val="20"/>
    </w:rPr>
  </w:style>
  <w:style w:type="paragraph" w:styleId="Predmetkomentara">
    <w:name w:val="annotation subject"/>
    <w:basedOn w:val="Tekstkomentara"/>
    <w:next w:val="Tekstkomentara"/>
    <w:link w:val="PredmetkomentaraChar"/>
    <w:uiPriority w:val="99"/>
    <w:semiHidden/>
    <w:unhideWhenUsed/>
    <w:rsid w:val="00DC3003"/>
    <w:rPr>
      <w:b/>
      <w:bCs/>
    </w:rPr>
  </w:style>
  <w:style w:type="character" w:customStyle="1" w:styleId="PredmetkomentaraChar">
    <w:name w:val="Predmet komentara Char"/>
    <w:basedOn w:val="TekstkomentaraChar"/>
    <w:link w:val="Predmetkomentara"/>
    <w:uiPriority w:val="99"/>
    <w:semiHidden/>
    <w:rsid w:val="00DC3003"/>
    <w:rPr>
      <w:b/>
      <w:bCs/>
      <w:sz w:val="20"/>
      <w:szCs w:val="20"/>
    </w:rPr>
  </w:style>
</w:styles>
</file>

<file path=word/webSettings.xml><?xml version="1.0" encoding="utf-8"?>
<w:webSettings xmlns:r="http://schemas.openxmlformats.org/officeDocument/2006/relationships" xmlns:w="http://schemas.openxmlformats.org/wordprocessingml/2006/main">
  <w:divs>
    <w:div w:id="646664040">
      <w:bodyDiv w:val="1"/>
      <w:marLeft w:val="0"/>
      <w:marRight w:val="0"/>
      <w:marTop w:val="0"/>
      <w:marBottom w:val="0"/>
      <w:divBdr>
        <w:top w:val="none" w:sz="0" w:space="0" w:color="auto"/>
        <w:left w:val="none" w:sz="0" w:space="0" w:color="auto"/>
        <w:bottom w:val="none" w:sz="0" w:space="0" w:color="auto"/>
        <w:right w:val="none" w:sz="0" w:space="0" w:color="auto"/>
      </w:divBdr>
      <w:divsChild>
        <w:div w:id="1966232543">
          <w:marLeft w:val="0"/>
          <w:marRight w:val="0"/>
          <w:marTop w:val="0"/>
          <w:marBottom w:val="0"/>
          <w:divBdr>
            <w:top w:val="none" w:sz="0" w:space="0" w:color="auto"/>
            <w:left w:val="none" w:sz="0" w:space="0" w:color="auto"/>
            <w:bottom w:val="none" w:sz="0" w:space="0" w:color="auto"/>
            <w:right w:val="none" w:sz="0" w:space="0" w:color="auto"/>
          </w:divBdr>
        </w:div>
      </w:divsChild>
    </w:div>
    <w:div w:id="828903139">
      <w:bodyDiv w:val="1"/>
      <w:marLeft w:val="0"/>
      <w:marRight w:val="0"/>
      <w:marTop w:val="0"/>
      <w:marBottom w:val="0"/>
      <w:divBdr>
        <w:top w:val="none" w:sz="0" w:space="0" w:color="auto"/>
        <w:left w:val="none" w:sz="0" w:space="0" w:color="auto"/>
        <w:bottom w:val="none" w:sz="0" w:space="0" w:color="auto"/>
        <w:right w:val="none" w:sz="0" w:space="0" w:color="auto"/>
      </w:divBdr>
    </w:div>
    <w:div w:id="1370032814">
      <w:bodyDiv w:val="1"/>
      <w:marLeft w:val="0"/>
      <w:marRight w:val="0"/>
      <w:marTop w:val="0"/>
      <w:marBottom w:val="0"/>
      <w:divBdr>
        <w:top w:val="none" w:sz="0" w:space="0" w:color="auto"/>
        <w:left w:val="none" w:sz="0" w:space="0" w:color="auto"/>
        <w:bottom w:val="none" w:sz="0" w:space="0" w:color="auto"/>
        <w:right w:val="none" w:sz="0" w:space="0" w:color="auto"/>
      </w:divBdr>
      <w:divsChild>
        <w:div w:id="273053696">
          <w:marLeft w:val="0"/>
          <w:marRight w:val="0"/>
          <w:marTop w:val="0"/>
          <w:marBottom w:val="0"/>
          <w:divBdr>
            <w:top w:val="none" w:sz="0" w:space="0" w:color="auto"/>
            <w:left w:val="none" w:sz="0" w:space="0" w:color="auto"/>
            <w:bottom w:val="none" w:sz="0" w:space="0" w:color="auto"/>
            <w:right w:val="none" w:sz="0" w:space="0" w:color="auto"/>
          </w:divBdr>
        </w:div>
      </w:divsChild>
    </w:div>
    <w:div w:id="1425611472">
      <w:bodyDiv w:val="1"/>
      <w:marLeft w:val="0"/>
      <w:marRight w:val="0"/>
      <w:marTop w:val="0"/>
      <w:marBottom w:val="0"/>
      <w:divBdr>
        <w:top w:val="none" w:sz="0" w:space="0" w:color="auto"/>
        <w:left w:val="none" w:sz="0" w:space="0" w:color="auto"/>
        <w:bottom w:val="none" w:sz="0" w:space="0" w:color="auto"/>
        <w:right w:val="none" w:sz="0" w:space="0" w:color="auto"/>
      </w:divBdr>
    </w:div>
    <w:div w:id="1796290422">
      <w:bodyDiv w:val="1"/>
      <w:marLeft w:val="0"/>
      <w:marRight w:val="0"/>
      <w:marTop w:val="0"/>
      <w:marBottom w:val="0"/>
      <w:divBdr>
        <w:top w:val="none" w:sz="0" w:space="0" w:color="auto"/>
        <w:left w:val="none" w:sz="0" w:space="0" w:color="auto"/>
        <w:bottom w:val="none" w:sz="0" w:space="0" w:color="auto"/>
        <w:right w:val="none" w:sz="0" w:space="0" w:color="auto"/>
      </w:divBdr>
    </w:div>
    <w:div w:id="1881164952">
      <w:bodyDiv w:val="1"/>
      <w:marLeft w:val="0"/>
      <w:marRight w:val="0"/>
      <w:marTop w:val="0"/>
      <w:marBottom w:val="0"/>
      <w:divBdr>
        <w:top w:val="none" w:sz="0" w:space="0" w:color="auto"/>
        <w:left w:val="none" w:sz="0" w:space="0" w:color="auto"/>
        <w:bottom w:val="none" w:sz="0" w:space="0" w:color="auto"/>
        <w:right w:val="none" w:sz="0" w:space="0" w:color="auto"/>
      </w:divBdr>
      <w:divsChild>
        <w:div w:id="864833773">
          <w:marLeft w:val="0"/>
          <w:marRight w:val="0"/>
          <w:marTop w:val="0"/>
          <w:marBottom w:val="0"/>
          <w:divBdr>
            <w:top w:val="none" w:sz="0" w:space="0" w:color="auto"/>
            <w:left w:val="none" w:sz="0" w:space="0" w:color="auto"/>
            <w:bottom w:val="none" w:sz="0" w:space="0" w:color="auto"/>
            <w:right w:val="none" w:sz="0" w:space="0" w:color="auto"/>
          </w:divBdr>
        </w:div>
        <w:div w:id="844171705">
          <w:marLeft w:val="0"/>
          <w:marRight w:val="0"/>
          <w:marTop w:val="0"/>
          <w:marBottom w:val="0"/>
          <w:divBdr>
            <w:top w:val="none" w:sz="0" w:space="0" w:color="auto"/>
            <w:left w:val="none" w:sz="0" w:space="0" w:color="auto"/>
            <w:bottom w:val="none" w:sz="0" w:space="0" w:color="auto"/>
            <w:right w:val="none" w:sz="0" w:space="0" w:color="auto"/>
          </w:divBdr>
        </w:div>
        <w:div w:id="237059236">
          <w:marLeft w:val="0"/>
          <w:marRight w:val="0"/>
          <w:marTop w:val="0"/>
          <w:marBottom w:val="0"/>
          <w:divBdr>
            <w:top w:val="none" w:sz="0" w:space="0" w:color="auto"/>
            <w:left w:val="none" w:sz="0" w:space="0" w:color="auto"/>
            <w:bottom w:val="none" w:sz="0" w:space="0" w:color="auto"/>
            <w:right w:val="none" w:sz="0" w:space="0" w:color="auto"/>
          </w:divBdr>
        </w:div>
        <w:div w:id="2022974762">
          <w:marLeft w:val="0"/>
          <w:marRight w:val="0"/>
          <w:marTop w:val="0"/>
          <w:marBottom w:val="0"/>
          <w:divBdr>
            <w:top w:val="none" w:sz="0" w:space="0" w:color="auto"/>
            <w:left w:val="none" w:sz="0" w:space="0" w:color="auto"/>
            <w:bottom w:val="none" w:sz="0" w:space="0" w:color="auto"/>
            <w:right w:val="none" w:sz="0" w:space="0" w:color="auto"/>
          </w:divBdr>
        </w:div>
        <w:div w:id="1181890227">
          <w:marLeft w:val="0"/>
          <w:marRight w:val="0"/>
          <w:marTop w:val="0"/>
          <w:marBottom w:val="0"/>
          <w:divBdr>
            <w:top w:val="none" w:sz="0" w:space="0" w:color="auto"/>
            <w:left w:val="none" w:sz="0" w:space="0" w:color="auto"/>
            <w:bottom w:val="none" w:sz="0" w:space="0" w:color="auto"/>
            <w:right w:val="none" w:sz="0" w:space="0" w:color="auto"/>
          </w:divBdr>
        </w:div>
        <w:div w:id="295526134">
          <w:marLeft w:val="0"/>
          <w:marRight w:val="0"/>
          <w:marTop w:val="0"/>
          <w:marBottom w:val="0"/>
          <w:divBdr>
            <w:top w:val="none" w:sz="0" w:space="0" w:color="auto"/>
            <w:left w:val="none" w:sz="0" w:space="0" w:color="auto"/>
            <w:bottom w:val="none" w:sz="0" w:space="0" w:color="auto"/>
            <w:right w:val="none" w:sz="0" w:space="0" w:color="auto"/>
          </w:divBdr>
        </w:div>
        <w:div w:id="776221892">
          <w:marLeft w:val="0"/>
          <w:marRight w:val="0"/>
          <w:marTop w:val="0"/>
          <w:marBottom w:val="0"/>
          <w:divBdr>
            <w:top w:val="none" w:sz="0" w:space="0" w:color="auto"/>
            <w:left w:val="none" w:sz="0" w:space="0" w:color="auto"/>
            <w:bottom w:val="none" w:sz="0" w:space="0" w:color="auto"/>
            <w:right w:val="none" w:sz="0" w:space="0" w:color="auto"/>
          </w:divBdr>
        </w:div>
        <w:div w:id="1552157235">
          <w:marLeft w:val="0"/>
          <w:marRight w:val="0"/>
          <w:marTop w:val="0"/>
          <w:marBottom w:val="0"/>
          <w:divBdr>
            <w:top w:val="none" w:sz="0" w:space="0" w:color="auto"/>
            <w:left w:val="none" w:sz="0" w:space="0" w:color="auto"/>
            <w:bottom w:val="none" w:sz="0" w:space="0" w:color="auto"/>
            <w:right w:val="none" w:sz="0" w:space="0" w:color="auto"/>
          </w:divBdr>
        </w:div>
        <w:div w:id="1487437724">
          <w:marLeft w:val="0"/>
          <w:marRight w:val="0"/>
          <w:marTop w:val="0"/>
          <w:marBottom w:val="0"/>
          <w:divBdr>
            <w:top w:val="none" w:sz="0" w:space="0" w:color="auto"/>
            <w:left w:val="none" w:sz="0" w:space="0" w:color="auto"/>
            <w:bottom w:val="none" w:sz="0" w:space="0" w:color="auto"/>
            <w:right w:val="none" w:sz="0" w:space="0" w:color="auto"/>
          </w:divBdr>
        </w:div>
        <w:div w:id="790829159">
          <w:marLeft w:val="0"/>
          <w:marRight w:val="0"/>
          <w:marTop w:val="0"/>
          <w:marBottom w:val="0"/>
          <w:divBdr>
            <w:top w:val="none" w:sz="0" w:space="0" w:color="auto"/>
            <w:left w:val="none" w:sz="0" w:space="0" w:color="auto"/>
            <w:bottom w:val="none" w:sz="0" w:space="0" w:color="auto"/>
            <w:right w:val="none" w:sz="0" w:space="0" w:color="auto"/>
          </w:divBdr>
        </w:div>
        <w:div w:id="643850336">
          <w:marLeft w:val="0"/>
          <w:marRight w:val="0"/>
          <w:marTop w:val="0"/>
          <w:marBottom w:val="0"/>
          <w:divBdr>
            <w:top w:val="none" w:sz="0" w:space="0" w:color="auto"/>
            <w:left w:val="none" w:sz="0" w:space="0" w:color="auto"/>
            <w:bottom w:val="none" w:sz="0" w:space="0" w:color="auto"/>
            <w:right w:val="none" w:sz="0" w:space="0" w:color="auto"/>
          </w:divBdr>
        </w:div>
        <w:div w:id="1849951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fin.hr"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raca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CCA3-E3B4-431E-8557-FD4FC5E2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2763</Words>
  <Characters>15751</Characters>
  <Application>Microsoft Office Word</Application>
  <DocSecurity>0</DocSecurity>
  <Lines>131</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mfkor</dc:creator>
  <cp:lastModifiedBy>Korisnik</cp:lastModifiedBy>
  <cp:revision>4</cp:revision>
  <cp:lastPrinted>2017-09-27T12:28:00Z</cp:lastPrinted>
  <dcterms:created xsi:type="dcterms:W3CDTF">2017-09-20T08:53:00Z</dcterms:created>
  <dcterms:modified xsi:type="dcterms:W3CDTF">2017-09-27T12:30:00Z</dcterms:modified>
</cp:coreProperties>
</file>